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C85F" w14:textId="400767DC" w:rsidR="000937B2" w:rsidRDefault="00796851" w:rsidP="003162B5">
      <w:pPr>
        <w:jc w:val="center"/>
      </w:pPr>
      <w:r>
        <w:rPr>
          <w:noProof/>
        </w:rPr>
        <w:drawing>
          <wp:inline distT="0" distB="0" distL="0" distR="0" wp14:anchorId="7A697A87" wp14:editId="3006E12D">
            <wp:extent cx="4443813" cy="1949735"/>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472442" cy="1962296"/>
                    </a:xfrm>
                    <a:prstGeom prst="rect">
                      <a:avLst/>
                    </a:prstGeom>
                  </pic:spPr>
                </pic:pic>
              </a:graphicData>
            </a:graphic>
          </wp:inline>
        </w:drawing>
      </w:r>
    </w:p>
    <w:p w14:paraId="63CD27DB" w14:textId="12F9418F" w:rsidR="003162B5" w:rsidRDefault="003162B5" w:rsidP="003162B5">
      <w:pPr>
        <w:jc w:val="center"/>
        <w:rPr>
          <w:b/>
          <w:bCs/>
          <w:sz w:val="44"/>
          <w:szCs w:val="44"/>
        </w:rPr>
      </w:pPr>
    </w:p>
    <w:p w14:paraId="7EAF1AF1" w14:textId="77777777" w:rsidR="00B34C2D" w:rsidRPr="003162B5" w:rsidRDefault="00B34C2D" w:rsidP="00B34C2D">
      <w:pPr>
        <w:jc w:val="center"/>
        <w:rPr>
          <w:b/>
          <w:bCs/>
          <w:sz w:val="44"/>
          <w:szCs w:val="44"/>
          <w:rtl/>
        </w:rPr>
      </w:pPr>
      <w:r w:rsidRPr="003162B5">
        <w:rPr>
          <w:b/>
          <w:bCs/>
          <w:sz w:val="44"/>
          <w:szCs w:val="44"/>
        </w:rPr>
        <w:t>ORIENTATE</w:t>
      </w:r>
    </w:p>
    <w:p w14:paraId="7F54C5FD" w14:textId="58314022" w:rsidR="003162B5" w:rsidRPr="00B34C2D" w:rsidRDefault="00B34C2D" w:rsidP="00B34C2D">
      <w:pPr>
        <w:jc w:val="center"/>
        <w:rPr>
          <w:b/>
          <w:bCs/>
          <w:sz w:val="40"/>
          <w:szCs w:val="40"/>
        </w:rPr>
      </w:pPr>
      <w:r w:rsidRPr="00B34C2D">
        <w:rPr>
          <w:b/>
          <w:bCs/>
          <w:sz w:val="40"/>
          <w:szCs w:val="40"/>
        </w:rPr>
        <w:t>Contracting Technical Experts for Knowledge Transfer, Pilot Support, Training, and Institutional Coordination</w:t>
      </w:r>
    </w:p>
    <w:p w14:paraId="5D75E574" w14:textId="6E30DE4D" w:rsidR="003162B5" w:rsidRPr="003162B5" w:rsidRDefault="003162B5" w:rsidP="003162B5">
      <w:pPr>
        <w:jc w:val="center"/>
        <w:rPr>
          <w:b/>
          <w:bCs/>
          <w:sz w:val="44"/>
          <w:szCs w:val="44"/>
        </w:rPr>
      </w:pPr>
      <w:r w:rsidRPr="003162B5">
        <w:rPr>
          <w:b/>
          <w:bCs/>
          <w:sz w:val="44"/>
          <w:szCs w:val="44"/>
        </w:rPr>
        <w:t>Terms of Reference (ToR)</w:t>
      </w:r>
    </w:p>
    <w:p w14:paraId="3629A8E0" w14:textId="77777777" w:rsidR="003162B5" w:rsidRDefault="003162B5" w:rsidP="003162B5"/>
    <w:p w14:paraId="6AC1229A" w14:textId="77777777" w:rsidR="000937B2" w:rsidRDefault="000937B2" w:rsidP="000937B2"/>
    <w:p w14:paraId="148DBFE4" w14:textId="77777777" w:rsidR="000937B2" w:rsidRDefault="000937B2" w:rsidP="000937B2"/>
    <w:p w14:paraId="39C3061F" w14:textId="77777777" w:rsidR="000937B2" w:rsidRDefault="000937B2" w:rsidP="000937B2"/>
    <w:p w14:paraId="583B36F8" w14:textId="77777777" w:rsidR="000937B2" w:rsidRDefault="000937B2" w:rsidP="000937B2"/>
    <w:p w14:paraId="3414525D" w14:textId="77777777" w:rsidR="000937B2" w:rsidRDefault="000937B2" w:rsidP="000937B2"/>
    <w:p w14:paraId="7D5453E7" w14:textId="77777777" w:rsidR="000937B2" w:rsidRDefault="000937B2" w:rsidP="000937B2"/>
    <w:p w14:paraId="1F5CE9E5" w14:textId="74762C45" w:rsidR="000937B2" w:rsidRDefault="000937B2" w:rsidP="000937B2"/>
    <w:p w14:paraId="748D3DB0" w14:textId="77777777" w:rsidR="0030559B" w:rsidRDefault="0030559B" w:rsidP="000937B2"/>
    <w:p w14:paraId="160F507E" w14:textId="77777777" w:rsidR="003162B5" w:rsidRDefault="003162B5" w:rsidP="000937B2"/>
    <w:p w14:paraId="0699A1FA" w14:textId="77777777" w:rsidR="000937B2" w:rsidRDefault="000937B2" w:rsidP="000937B2"/>
    <w:p w14:paraId="1FD7273F" w14:textId="77777777" w:rsidR="00E842AC" w:rsidRPr="00B34C2D" w:rsidRDefault="00E842AC" w:rsidP="00B34C2D">
      <w:pPr>
        <w:pStyle w:val="Heading2"/>
      </w:pPr>
      <w:r w:rsidRPr="00B34C2D">
        <w:lastRenderedPageBreak/>
        <w:t>1. Background</w:t>
      </w:r>
    </w:p>
    <w:p w14:paraId="1C09665E" w14:textId="77777777" w:rsidR="00E842AC" w:rsidRDefault="00E842AC" w:rsidP="00F8132D">
      <w:pPr>
        <w:pStyle w:val="NormalWeb"/>
        <w:ind w:left="720"/>
      </w:pPr>
      <w:r>
        <w:t>The ORIENTATE Project is funded under the Interreg NEXT MED Programme under Specific Objective 2.4 (RSO2.6) “Promoting the transition to a circular and resource-efficient economy.” The project focuses on supporting the transition toward circular economy practices in the agricultural sector through the valorisation of agricultural waste generated from olive and citrus production chains.</w:t>
      </w:r>
    </w:p>
    <w:p w14:paraId="2FA8ECC1" w14:textId="77777777" w:rsidR="00E842AC" w:rsidRDefault="00E842AC" w:rsidP="00F8132D">
      <w:pPr>
        <w:pStyle w:val="NormalWeb"/>
        <w:ind w:left="720"/>
      </w:pPr>
      <w:r>
        <w:t>The project brings together partners from Italy, Spain, Türkiye, Jordan, and Lebanon to transfer knowledge, technologies, and operational models related to agricultural waste valorisation and circular economy applications. The project specifically seeks to support the development and scaling-up of innovative pilot solutions related to olive pomace and citrus waste valorisation in Mediterranean Partner Countries.</w:t>
      </w:r>
    </w:p>
    <w:p w14:paraId="7E8F8253" w14:textId="77777777" w:rsidR="00E842AC" w:rsidRDefault="00E842AC" w:rsidP="00F8132D">
      <w:pPr>
        <w:pStyle w:val="NormalWeb"/>
        <w:ind w:left="720"/>
      </w:pPr>
      <w:r>
        <w:t>Within this framework, Work Package 3 (WP3) foresees the implementation of cross-border Job Shadowing activities in Italy and Spain involving partner delegations and technical experts from participating countries. These activities aim to expose participants to existing European technologies, operational models, and circular economy practices related to citrus and olive waste processing and valorisation.</w:t>
      </w:r>
    </w:p>
    <w:p w14:paraId="62879EAA" w14:textId="77777777" w:rsidR="00E842AC" w:rsidRDefault="00E842AC" w:rsidP="00F8132D">
      <w:pPr>
        <w:pStyle w:val="NormalWeb"/>
        <w:ind w:left="720"/>
      </w:pPr>
      <w:r>
        <w:t>The knowledge and technical experience acquired through the Job Shadowing activities are intended to support the adaptation, implementation, and scaling-up of pilot solutions under Work Packages 4, 5, and 6, including pilot development support, local training activities, stakeholder engagement, and cooperation frameworks for sustainability and replication.</w:t>
      </w:r>
    </w:p>
    <w:p w14:paraId="2A54C016" w14:textId="6984750F" w:rsidR="00B34C2D" w:rsidRDefault="00E842AC" w:rsidP="00B34C2D">
      <w:pPr>
        <w:pStyle w:val="NormalWeb"/>
        <w:ind w:left="720"/>
      </w:pPr>
      <w:r>
        <w:t>Accordingly, the project seeks to engage two technical experts to contribute to the technical transfer, adaptation, pilot support, training, and stakeholder coordination activities linked to the implementation and scaling-up objectives of the ORIENTATE project.</w:t>
      </w:r>
    </w:p>
    <w:p w14:paraId="58B131A3" w14:textId="77777777" w:rsidR="00E842AC" w:rsidRDefault="00E842AC" w:rsidP="00B34C2D">
      <w:pPr>
        <w:pStyle w:val="Heading2"/>
      </w:pPr>
      <w:r>
        <w:t>2. Objective of the Assignment</w:t>
      </w:r>
    </w:p>
    <w:p w14:paraId="20CA12A2" w14:textId="56543ECC" w:rsidR="00E842AC" w:rsidRDefault="00E842AC" w:rsidP="00F8132D">
      <w:pPr>
        <w:pStyle w:val="NormalWeb"/>
        <w:ind w:left="720"/>
      </w:pPr>
      <w:r>
        <w:t xml:space="preserve">The objective of this assignment is to engage two qualified technical experts to support the implementation of the ORIENTATE project through participation in cross-border knowledge transfer activities and the provision of </w:t>
      </w:r>
      <w:r w:rsidR="00200568" w:rsidRPr="00200568">
        <w:t xml:space="preserve">technical support, training, monitoring, and stakeholder coordination </w:t>
      </w:r>
      <w:r w:rsidR="00561421">
        <w:rPr>
          <w:lang w:val="en-GB"/>
        </w:rPr>
        <w:t>activities</w:t>
      </w:r>
      <w:r w:rsidR="00200568">
        <w:rPr>
          <w:lang w:val="en-GB"/>
        </w:rPr>
        <w:t xml:space="preserve"> </w:t>
      </w:r>
      <w:r>
        <w:t>related to the adaptation and scaling-up of circular economy solutions in the agricultural sector.</w:t>
      </w:r>
    </w:p>
    <w:p w14:paraId="03399138" w14:textId="77777777" w:rsidR="00E842AC" w:rsidRDefault="00E842AC" w:rsidP="00F8132D">
      <w:pPr>
        <w:pStyle w:val="NormalWeb"/>
        <w:ind w:left="720"/>
      </w:pPr>
      <w:r>
        <w:t>The selected experts will contribute to:</w:t>
      </w:r>
    </w:p>
    <w:p w14:paraId="5284C5F1" w14:textId="77777777" w:rsidR="00E842AC" w:rsidRDefault="00E842AC" w:rsidP="00F8132D">
      <w:pPr>
        <w:pStyle w:val="NormalWeb"/>
        <w:numPr>
          <w:ilvl w:val="0"/>
          <w:numId w:val="35"/>
        </w:numPr>
        <w:tabs>
          <w:tab w:val="clear" w:pos="720"/>
          <w:tab w:val="num" w:pos="1440"/>
        </w:tabs>
        <w:ind w:left="1440"/>
      </w:pPr>
      <w:r>
        <w:lastRenderedPageBreak/>
        <w:t>participation in the Job Shadowing activities in Italy and Spain;</w:t>
      </w:r>
    </w:p>
    <w:p w14:paraId="4AAA9C06" w14:textId="77777777" w:rsidR="00E842AC" w:rsidRDefault="00E842AC" w:rsidP="00F8132D">
      <w:pPr>
        <w:pStyle w:val="NormalWeb"/>
        <w:numPr>
          <w:ilvl w:val="0"/>
          <w:numId w:val="35"/>
        </w:numPr>
        <w:tabs>
          <w:tab w:val="clear" w:pos="720"/>
          <w:tab w:val="num" w:pos="1440"/>
        </w:tabs>
        <w:ind w:left="1440"/>
      </w:pPr>
      <w:r>
        <w:t>technical assessment of the observed technologies and practices;</w:t>
      </w:r>
    </w:p>
    <w:p w14:paraId="0E306B1F" w14:textId="77777777" w:rsidR="00E842AC" w:rsidRDefault="00E842AC" w:rsidP="00F8132D">
      <w:pPr>
        <w:pStyle w:val="NormalWeb"/>
        <w:numPr>
          <w:ilvl w:val="0"/>
          <w:numId w:val="35"/>
        </w:numPr>
        <w:tabs>
          <w:tab w:val="clear" w:pos="720"/>
          <w:tab w:val="num" w:pos="1440"/>
        </w:tabs>
        <w:ind w:left="1440"/>
      </w:pPr>
      <w:r>
        <w:t>transferability analysis and adaptation recommendations for local implementation;</w:t>
      </w:r>
    </w:p>
    <w:p w14:paraId="728A4F0A" w14:textId="389B71E1" w:rsidR="00E842AC" w:rsidRDefault="001154F0" w:rsidP="00F8132D">
      <w:pPr>
        <w:pStyle w:val="NormalWeb"/>
        <w:numPr>
          <w:ilvl w:val="0"/>
          <w:numId w:val="35"/>
        </w:numPr>
        <w:tabs>
          <w:tab w:val="clear" w:pos="720"/>
          <w:tab w:val="num" w:pos="1440"/>
        </w:tabs>
        <w:ind w:left="1440"/>
      </w:pPr>
      <w:r w:rsidRPr="001154F0">
        <w:t>feasibility assessment, pilot implementation, monitoring, and validation activities related to pilot actions</w:t>
      </w:r>
      <w:r w:rsidR="00E842AC">
        <w:t>;</w:t>
      </w:r>
    </w:p>
    <w:p w14:paraId="3F07171D" w14:textId="77777777" w:rsidR="00E842AC" w:rsidRDefault="00E842AC" w:rsidP="00F8132D">
      <w:pPr>
        <w:pStyle w:val="NormalWeb"/>
        <w:numPr>
          <w:ilvl w:val="0"/>
          <w:numId w:val="35"/>
        </w:numPr>
        <w:tabs>
          <w:tab w:val="clear" w:pos="720"/>
          <w:tab w:val="num" w:pos="1440"/>
        </w:tabs>
        <w:ind w:left="1440"/>
      </w:pPr>
      <w:r>
        <w:t>delivery of knowledge transfer and training activities;</w:t>
      </w:r>
    </w:p>
    <w:p w14:paraId="37AFAB16" w14:textId="3E6C8B2C" w:rsidR="00B34C2D" w:rsidRDefault="00E842AC" w:rsidP="00B34C2D">
      <w:pPr>
        <w:pStyle w:val="NormalWeb"/>
        <w:numPr>
          <w:ilvl w:val="0"/>
          <w:numId w:val="35"/>
        </w:numPr>
        <w:tabs>
          <w:tab w:val="clear" w:pos="720"/>
          <w:tab w:val="num" w:pos="1440"/>
        </w:tabs>
        <w:ind w:left="1440"/>
      </w:pPr>
      <w:r>
        <w:t xml:space="preserve">contribution to stakeholder engagement and cooperation framework discussions related to sustainability, </w:t>
      </w:r>
      <w:r w:rsidR="00652B30" w:rsidRPr="00652B30">
        <w:t>scaling-up perspectives</w:t>
      </w:r>
      <w:r w:rsidR="001154F0">
        <w:rPr>
          <w:lang w:val="en-GB"/>
        </w:rPr>
        <w:t>,</w:t>
      </w:r>
      <w:r w:rsidR="00652B30" w:rsidRPr="00652B30">
        <w:t xml:space="preserve"> and potential cooperation frameworks and MoUs</w:t>
      </w:r>
      <w:r>
        <w:t>.</w:t>
      </w:r>
    </w:p>
    <w:p w14:paraId="4964E8A6" w14:textId="77777777" w:rsidR="00E842AC" w:rsidRDefault="00E842AC" w:rsidP="00B34C2D">
      <w:pPr>
        <w:pStyle w:val="Heading2"/>
      </w:pPr>
      <w:r>
        <w:t>3. Tasks and Deliverables</w:t>
      </w:r>
    </w:p>
    <w:p w14:paraId="3F3DF315" w14:textId="77777777" w:rsidR="00E842AC" w:rsidRDefault="00E842AC" w:rsidP="00E842AC">
      <w:pPr>
        <w:pStyle w:val="NormalWeb"/>
      </w:pPr>
      <w:r>
        <w:t>The selected experts shall perform the following tasks and deliverables:</w:t>
      </w:r>
    </w:p>
    <w:p w14:paraId="46A3511C" w14:textId="77777777" w:rsidR="00E842AC" w:rsidRDefault="00E842AC" w:rsidP="00E842AC">
      <w:pPr>
        <w:pStyle w:val="Heading3"/>
      </w:pPr>
      <w:r>
        <w:t>A. Technical Observation, Knowledge Transfer, and Transferability Assessment</w:t>
      </w:r>
    </w:p>
    <w:p w14:paraId="026B68E8" w14:textId="77777777" w:rsidR="00E842AC" w:rsidRDefault="00E842AC" w:rsidP="00F8132D">
      <w:pPr>
        <w:pStyle w:val="Heading4"/>
        <w:ind w:left="720"/>
      </w:pPr>
      <w:r>
        <w:t>Scope of Work</w:t>
      </w:r>
    </w:p>
    <w:p w14:paraId="6DA43590" w14:textId="77777777" w:rsidR="00E842AC" w:rsidRDefault="00E842AC" w:rsidP="00F8132D">
      <w:pPr>
        <w:pStyle w:val="NormalWeb"/>
        <w:ind w:left="720"/>
      </w:pPr>
      <w:r>
        <w:t>The experts shall participate in the Job Shadowing activities implemented in Italy and Spain in relation to agricultural waste valorisation technologies, circular economy operational models, and agri-food waste processing practices.</w:t>
      </w:r>
    </w:p>
    <w:p w14:paraId="4FA7D8BD" w14:textId="77777777" w:rsidR="00E842AC" w:rsidRDefault="00E842AC" w:rsidP="00F8132D">
      <w:pPr>
        <w:pStyle w:val="NormalWeb"/>
        <w:ind w:left="720"/>
      </w:pPr>
      <w:r>
        <w:t>The experts shall:</w:t>
      </w:r>
    </w:p>
    <w:p w14:paraId="7532AC24" w14:textId="1ED017A9" w:rsidR="00E842AC" w:rsidRDefault="00E842AC" w:rsidP="00F8132D">
      <w:pPr>
        <w:pStyle w:val="NormalWeb"/>
        <w:numPr>
          <w:ilvl w:val="0"/>
          <w:numId w:val="36"/>
        </w:numPr>
        <w:tabs>
          <w:tab w:val="clear" w:pos="720"/>
          <w:tab w:val="num" w:pos="1440"/>
        </w:tabs>
        <w:ind w:left="1440"/>
      </w:pPr>
      <w:r>
        <w:t xml:space="preserve">participate in technical visits, workshops, coordination meetings, and technical observation activities implemented during the Job Shadowing </w:t>
      </w:r>
      <w:r w:rsidR="001F1DEA">
        <w:rPr>
          <w:lang w:val="en-GB"/>
        </w:rPr>
        <w:t>activities</w:t>
      </w:r>
      <w:r>
        <w:t>;</w:t>
      </w:r>
    </w:p>
    <w:p w14:paraId="3402C6FB" w14:textId="77777777" w:rsidR="00E842AC" w:rsidRDefault="00E842AC" w:rsidP="00F8132D">
      <w:pPr>
        <w:pStyle w:val="NormalWeb"/>
        <w:numPr>
          <w:ilvl w:val="0"/>
          <w:numId w:val="36"/>
        </w:numPr>
        <w:tabs>
          <w:tab w:val="clear" w:pos="720"/>
          <w:tab w:val="num" w:pos="1440"/>
        </w:tabs>
        <w:ind w:left="1440"/>
      </w:pPr>
      <w:r>
        <w:t>observe and analyse technologies, operational systems, and circular economy practices related to citrus and olive waste valorisation;</w:t>
      </w:r>
    </w:p>
    <w:p w14:paraId="69986638" w14:textId="77777777" w:rsidR="00E842AC" w:rsidRDefault="00E842AC" w:rsidP="00F8132D">
      <w:pPr>
        <w:pStyle w:val="NormalWeb"/>
        <w:numPr>
          <w:ilvl w:val="0"/>
          <w:numId w:val="36"/>
        </w:numPr>
        <w:tabs>
          <w:tab w:val="clear" w:pos="720"/>
          <w:tab w:val="num" w:pos="1440"/>
        </w:tabs>
        <w:ind w:left="1440"/>
      </w:pPr>
      <w:r>
        <w:t>collect technical and operational information relevant to the local implementation context;</w:t>
      </w:r>
    </w:p>
    <w:p w14:paraId="169666C9" w14:textId="77777777" w:rsidR="00E842AC" w:rsidRDefault="00E842AC" w:rsidP="00F8132D">
      <w:pPr>
        <w:pStyle w:val="NormalWeb"/>
        <w:numPr>
          <w:ilvl w:val="0"/>
          <w:numId w:val="36"/>
        </w:numPr>
        <w:tabs>
          <w:tab w:val="clear" w:pos="720"/>
          <w:tab w:val="num" w:pos="1440"/>
        </w:tabs>
        <w:ind w:left="1440"/>
      </w:pPr>
      <w:r>
        <w:t>assess the transferability and applicability of the observed models and technologies to the local context;</w:t>
      </w:r>
    </w:p>
    <w:p w14:paraId="22F1EAD6" w14:textId="77777777" w:rsidR="00E842AC" w:rsidRDefault="00E842AC" w:rsidP="00F8132D">
      <w:pPr>
        <w:pStyle w:val="NormalWeb"/>
        <w:numPr>
          <w:ilvl w:val="0"/>
          <w:numId w:val="36"/>
        </w:numPr>
        <w:tabs>
          <w:tab w:val="clear" w:pos="720"/>
          <w:tab w:val="num" w:pos="1440"/>
        </w:tabs>
        <w:ind w:left="1440"/>
      </w:pPr>
      <w:r>
        <w:t>identify operational, technical, and implementation considerations relevant to pilot adaptation activities;</w:t>
      </w:r>
    </w:p>
    <w:p w14:paraId="35CAE7F6" w14:textId="77777777" w:rsidR="00E842AC" w:rsidRDefault="00E842AC" w:rsidP="00F8132D">
      <w:pPr>
        <w:pStyle w:val="NormalWeb"/>
        <w:numPr>
          <w:ilvl w:val="0"/>
          <w:numId w:val="36"/>
        </w:numPr>
        <w:tabs>
          <w:tab w:val="clear" w:pos="720"/>
          <w:tab w:val="num" w:pos="1440"/>
        </w:tabs>
        <w:ind w:left="1440"/>
      </w:pPr>
      <w:r>
        <w:t>capture lessons learned and identify follow-up actions relevant to local implementation.</w:t>
      </w:r>
    </w:p>
    <w:p w14:paraId="4431A880" w14:textId="77777777" w:rsidR="00E842AC" w:rsidRDefault="00E842AC" w:rsidP="00F8132D">
      <w:pPr>
        <w:pStyle w:val="Heading4"/>
        <w:ind w:left="720"/>
      </w:pPr>
      <w:r>
        <w:t>Deliverable</w:t>
      </w:r>
    </w:p>
    <w:p w14:paraId="401A1210" w14:textId="77777777" w:rsidR="00E842AC" w:rsidRDefault="00E842AC" w:rsidP="00F8132D">
      <w:pPr>
        <w:pStyle w:val="NormalWeb"/>
        <w:ind w:left="720"/>
      </w:pPr>
      <w:r>
        <w:t>The experts shall jointly prepare and submit a:</w:t>
      </w:r>
    </w:p>
    <w:p w14:paraId="4333C84E" w14:textId="77777777" w:rsidR="00E842AC" w:rsidRPr="00E842AC" w:rsidRDefault="00E842AC" w:rsidP="00F8132D">
      <w:pPr>
        <w:ind w:left="720"/>
        <w:rPr>
          <w:b/>
          <w:bCs/>
          <w:sz w:val="24"/>
          <w:szCs w:val="24"/>
        </w:rPr>
      </w:pPr>
      <w:r w:rsidRPr="00E842AC">
        <w:rPr>
          <w:b/>
          <w:bCs/>
          <w:sz w:val="24"/>
          <w:szCs w:val="24"/>
        </w:rPr>
        <w:t>Technical Findings and Transferability Assessment Report</w:t>
      </w:r>
    </w:p>
    <w:p w14:paraId="34981FAB" w14:textId="77777777" w:rsidR="00E842AC" w:rsidRDefault="00E842AC" w:rsidP="00F8132D">
      <w:pPr>
        <w:pStyle w:val="NormalWeb"/>
        <w:ind w:left="720"/>
      </w:pPr>
      <w:r>
        <w:lastRenderedPageBreak/>
        <w:t>The report shall include:</w:t>
      </w:r>
    </w:p>
    <w:p w14:paraId="4B03B9F6" w14:textId="77777777" w:rsidR="00E842AC" w:rsidRDefault="00E842AC" w:rsidP="00F8132D">
      <w:pPr>
        <w:pStyle w:val="NormalWeb"/>
        <w:numPr>
          <w:ilvl w:val="0"/>
          <w:numId w:val="37"/>
        </w:numPr>
        <w:tabs>
          <w:tab w:val="clear" w:pos="720"/>
          <w:tab w:val="num" w:pos="1440"/>
        </w:tabs>
        <w:ind w:left="1440"/>
      </w:pPr>
      <w:r>
        <w:t>overview of visited technologies and operational models;</w:t>
      </w:r>
    </w:p>
    <w:p w14:paraId="69020036" w14:textId="77777777" w:rsidR="00E842AC" w:rsidRDefault="00E842AC" w:rsidP="00F8132D">
      <w:pPr>
        <w:pStyle w:val="NormalWeb"/>
        <w:numPr>
          <w:ilvl w:val="0"/>
          <w:numId w:val="37"/>
        </w:numPr>
        <w:tabs>
          <w:tab w:val="clear" w:pos="720"/>
          <w:tab w:val="num" w:pos="1440"/>
        </w:tabs>
        <w:ind w:left="1440"/>
      </w:pPr>
      <w:r>
        <w:t>technical findings and observations;</w:t>
      </w:r>
    </w:p>
    <w:p w14:paraId="0CCEFC66" w14:textId="77777777" w:rsidR="00E842AC" w:rsidRDefault="00E842AC" w:rsidP="00F8132D">
      <w:pPr>
        <w:pStyle w:val="NormalWeb"/>
        <w:numPr>
          <w:ilvl w:val="0"/>
          <w:numId w:val="37"/>
        </w:numPr>
        <w:tabs>
          <w:tab w:val="clear" w:pos="720"/>
          <w:tab w:val="num" w:pos="1440"/>
        </w:tabs>
        <w:ind w:left="1440"/>
      </w:pPr>
      <w:r>
        <w:t>transferability assessment;</w:t>
      </w:r>
    </w:p>
    <w:p w14:paraId="7BB5944A" w14:textId="77777777" w:rsidR="00E842AC" w:rsidRDefault="00E842AC" w:rsidP="00F8132D">
      <w:pPr>
        <w:pStyle w:val="NormalWeb"/>
        <w:numPr>
          <w:ilvl w:val="0"/>
          <w:numId w:val="37"/>
        </w:numPr>
        <w:tabs>
          <w:tab w:val="clear" w:pos="720"/>
          <w:tab w:val="num" w:pos="1440"/>
        </w:tabs>
        <w:ind w:left="1440"/>
      </w:pPr>
      <w:r>
        <w:t>applicability analysis for local implementation;</w:t>
      </w:r>
    </w:p>
    <w:p w14:paraId="0006E6C7" w14:textId="77777777" w:rsidR="00E842AC" w:rsidRDefault="00E842AC" w:rsidP="00F8132D">
      <w:pPr>
        <w:pStyle w:val="NormalWeb"/>
        <w:numPr>
          <w:ilvl w:val="0"/>
          <w:numId w:val="37"/>
        </w:numPr>
        <w:tabs>
          <w:tab w:val="clear" w:pos="720"/>
          <w:tab w:val="num" w:pos="1440"/>
        </w:tabs>
        <w:ind w:left="1440"/>
      </w:pPr>
      <w:r>
        <w:t>recommendations for pilot adaptation;</w:t>
      </w:r>
    </w:p>
    <w:p w14:paraId="23D01891" w14:textId="77777777" w:rsidR="00E842AC" w:rsidRDefault="00E842AC" w:rsidP="00F8132D">
      <w:pPr>
        <w:pStyle w:val="NormalWeb"/>
        <w:numPr>
          <w:ilvl w:val="0"/>
          <w:numId w:val="37"/>
        </w:numPr>
        <w:tabs>
          <w:tab w:val="clear" w:pos="720"/>
          <w:tab w:val="num" w:pos="1440"/>
        </w:tabs>
        <w:ind w:left="1440"/>
      </w:pPr>
      <w:r>
        <w:t>proposed technical approaches relevant to pilot implementation;</w:t>
      </w:r>
    </w:p>
    <w:p w14:paraId="014B35F8" w14:textId="77777777" w:rsidR="00E842AC" w:rsidRDefault="00E842AC" w:rsidP="00F8132D">
      <w:pPr>
        <w:pStyle w:val="NormalWeb"/>
        <w:numPr>
          <w:ilvl w:val="0"/>
          <w:numId w:val="37"/>
        </w:numPr>
        <w:tabs>
          <w:tab w:val="clear" w:pos="720"/>
          <w:tab w:val="num" w:pos="1440"/>
        </w:tabs>
        <w:ind w:left="1440"/>
      </w:pPr>
      <w:r>
        <w:t>identified operational risks and implementation considerations;</w:t>
      </w:r>
    </w:p>
    <w:p w14:paraId="3D620A31" w14:textId="77777777" w:rsidR="00E842AC" w:rsidRDefault="00E842AC" w:rsidP="00F8132D">
      <w:pPr>
        <w:pStyle w:val="NormalWeb"/>
        <w:numPr>
          <w:ilvl w:val="0"/>
          <w:numId w:val="37"/>
        </w:numPr>
        <w:tabs>
          <w:tab w:val="clear" w:pos="720"/>
          <w:tab w:val="num" w:pos="1440"/>
        </w:tabs>
        <w:ind w:left="1440"/>
      </w:pPr>
      <w:r>
        <w:t>proposed follow-up actions supporting local implementation.</w:t>
      </w:r>
    </w:p>
    <w:p w14:paraId="752DBBE3" w14:textId="1995C41C" w:rsidR="00E842AC" w:rsidRDefault="00E842AC" w:rsidP="00F8132D">
      <w:pPr>
        <w:pStyle w:val="NormalWeb"/>
        <w:ind w:left="720"/>
      </w:pPr>
      <w:r>
        <w:t xml:space="preserve">The report shall serve as a technical reference supporting feasibility assessment, implementation, and adaptation of pilot </w:t>
      </w:r>
      <w:r w:rsidR="00F91C67">
        <w:rPr>
          <w:lang w:val="en-GB"/>
        </w:rPr>
        <w:t>actions</w:t>
      </w:r>
      <w:r>
        <w:t>.</w:t>
      </w:r>
    </w:p>
    <w:p w14:paraId="768DE0B5" w14:textId="77777777" w:rsidR="00E842AC" w:rsidRDefault="00E842AC" w:rsidP="00F8132D">
      <w:pPr>
        <w:pStyle w:val="Heading4"/>
        <w:ind w:left="720"/>
      </w:pPr>
      <w:r>
        <w:t>Duration</w:t>
      </w:r>
    </w:p>
    <w:p w14:paraId="6032369D" w14:textId="0AD6C49C" w:rsidR="00E842AC" w:rsidRDefault="00E842AC" w:rsidP="00F8132D">
      <w:pPr>
        <w:pStyle w:val="NormalWeb"/>
        <w:ind w:left="720"/>
      </w:pPr>
      <w:r>
        <w:t xml:space="preserve">Estimated </w:t>
      </w:r>
      <w:r w:rsidR="00FF1871">
        <w:rPr>
          <w:lang w:val="en-GB"/>
        </w:rPr>
        <w:t>participation in job shadowing</w:t>
      </w:r>
      <w:r>
        <w:t>:</w:t>
      </w:r>
      <w:r w:rsidR="00FF1871">
        <w:rPr>
          <w:lang w:val="en-GB"/>
        </w:rPr>
        <w:t xml:space="preserve"> </w:t>
      </w:r>
      <w:r>
        <w:t>15 working days per expert.</w:t>
      </w:r>
    </w:p>
    <w:p w14:paraId="0166064C" w14:textId="77777777" w:rsidR="00E842AC" w:rsidRPr="00E842AC" w:rsidRDefault="00E842AC" w:rsidP="00E842AC">
      <w:pPr>
        <w:pStyle w:val="Heading3"/>
      </w:pPr>
      <w:r w:rsidRPr="00E842AC">
        <w:t>B. Feasibility Assessment, Pilot Support, Monitoring, and Validation Activities</w:t>
      </w:r>
    </w:p>
    <w:p w14:paraId="420C3C3E" w14:textId="77777777" w:rsidR="00E842AC" w:rsidRDefault="00E842AC" w:rsidP="00F8132D">
      <w:pPr>
        <w:pStyle w:val="Heading4"/>
        <w:ind w:left="720"/>
      </w:pPr>
      <w:r>
        <w:t>Scope of Work</w:t>
      </w:r>
    </w:p>
    <w:p w14:paraId="6A6FFDEC" w14:textId="021C5CC9" w:rsidR="00E842AC" w:rsidRDefault="00E842AC" w:rsidP="00F8132D">
      <w:pPr>
        <w:pStyle w:val="NormalWeb"/>
        <w:ind w:left="720"/>
      </w:pPr>
      <w:r>
        <w:t xml:space="preserve">The experts shall contribute to </w:t>
      </w:r>
      <w:r w:rsidR="009F5934" w:rsidRPr="009F5934">
        <w:t>feasibility assessment, pilot implementation support, monitoring, and validation activities related to the pilot actions</w:t>
      </w:r>
      <w:r>
        <w:t>.</w:t>
      </w:r>
    </w:p>
    <w:p w14:paraId="656D4583" w14:textId="77777777" w:rsidR="00E842AC" w:rsidRDefault="00E842AC" w:rsidP="00F8132D">
      <w:pPr>
        <w:pStyle w:val="NormalWeb"/>
        <w:ind w:left="720"/>
      </w:pPr>
      <w:r>
        <w:t>The experts shall:</w:t>
      </w:r>
    </w:p>
    <w:p w14:paraId="2C109951" w14:textId="77777777" w:rsidR="00E842AC" w:rsidRDefault="00E842AC" w:rsidP="00F8132D">
      <w:pPr>
        <w:pStyle w:val="NormalWeb"/>
        <w:numPr>
          <w:ilvl w:val="0"/>
          <w:numId w:val="38"/>
        </w:numPr>
        <w:tabs>
          <w:tab w:val="clear" w:pos="720"/>
          <w:tab w:val="num" w:pos="1440"/>
        </w:tabs>
        <w:ind w:left="1440"/>
      </w:pPr>
      <w:r>
        <w:t>contribute to technical, operational, and implementation assessments related to pilot feasibility activities;</w:t>
      </w:r>
    </w:p>
    <w:p w14:paraId="13D69364" w14:textId="77777777" w:rsidR="00E842AC" w:rsidRDefault="00E842AC" w:rsidP="00F8132D">
      <w:pPr>
        <w:pStyle w:val="NormalWeb"/>
        <w:numPr>
          <w:ilvl w:val="0"/>
          <w:numId w:val="38"/>
        </w:numPr>
        <w:tabs>
          <w:tab w:val="clear" w:pos="720"/>
          <w:tab w:val="num" w:pos="1440"/>
        </w:tabs>
        <w:ind w:left="1440"/>
      </w:pPr>
      <w:r>
        <w:t>support the adaptation of observed technologies and practices to the local pilot implementation context;</w:t>
      </w:r>
    </w:p>
    <w:p w14:paraId="29E12A70" w14:textId="77777777" w:rsidR="00E842AC" w:rsidRDefault="00E842AC" w:rsidP="00F8132D">
      <w:pPr>
        <w:pStyle w:val="NormalWeb"/>
        <w:numPr>
          <w:ilvl w:val="0"/>
          <w:numId w:val="38"/>
        </w:numPr>
        <w:tabs>
          <w:tab w:val="clear" w:pos="720"/>
          <w:tab w:val="num" w:pos="1440"/>
        </w:tabs>
        <w:ind w:left="1440"/>
      </w:pPr>
      <w:r>
        <w:t>participate in technical consultations related to pilot implementation and operational configuration;</w:t>
      </w:r>
    </w:p>
    <w:p w14:paraId="3E25CCA0" w14:textId="77777777" w:rsidR="00E842AC" w:rsidRDefault="00E842AC" w:rsidP="00F8132D">
      <w:pPr>
        <w:pStyle w:val="NormalWeb"/>
        <w:numPr>
          <w:ilvl w:val="0"/>
          <w:numId w:val="38"/>
        </w:numPr>
        <w:tabs>
          <w:tab w:val="clear" w:pos="720"/>
          <w:tab w:val="num" w:pos="1440"/>
        </w:tabs>
        <w:ind w:left="1440"/>
      </w:pPr>
      <w:r>
        <w:t>conduct field follow-up and monitoring activities related to pilot implementation when required;</w:t>
      </w:r>
    </w:p>
    <w:p w14:paraId="4B27E9F8" w14:textId="77777777" w:rsidR="00E842AC" w:rsidRDefault="00E842AC" w:rsidP="00F8132D">
      <w:pPr>
        <w:pStyle w:val="NormalWeb"/>
        <w:numPr>
          <w:ilvl w:val="0"/>
          <w:numId w:val="38"/>
        </w:numPr>
        <w:tabs>
          <w:tab w:val="clear" w:pos="720"/>
          <w:tab w:val="num" w:pos="1440"/>
        </w:tabs>
        <w:ind w:left="1440"/>
      </w:pPr>
      <w:r>
        <w:t>provide technical observations and recommendations related to pilot implementation, monitoring, and validation activities;</w:t>
      </w:r>
    </w:p>
    <w:p w14:paraId="5547B2BF" w14:textId="77777777" w:rsidR="00E842AC" w:rsidRDefault="00E842AC" w:rsidP="00F8132D">
      <w:pPr>
        <w:pStyle w:val="NormalWeb"/>
        <w:numPr>
          <w:ilvl w:val="0"/>
          <w:numId w:val="38"/>
        </w:numPr>
        <w:tabs>
          <w:tab w:val="clear" w:pos="720"/>
          <w:tab w:val="num" w:pos="1440"/>
        </w:tabs>
        <w:ind w:left="1440"/>
      </w:pPr>
      <w:r>
        <w:t>contribute to technical planning and operational recommendations supporting pilot implementation.</w:t>
      </w:r>
    </w:p>
    <w:p w14:paraId="3AA1398E" w14:textId="77777777" w:rsidR="00E842AC" w:rsidRDefault="00E842AC" w:rsidP="00F8132D">
      <w:pPr>
        <w:pStyle w:val="Heading4"/>
        <w:ind w:left="720"/>
      </w:pPr>
      <w:r>
        <w:t>Deliverables</w:t>
      </w:r>
    </w:p>
    <w:p w14:paraId="5629D334" w14:textId="77777777" w:rsidR="00E842AC" w:rsidRDefault="00E842AC" w:rsidP="00F8132D">
      <w:pPr>
        <w:pStyle w:val="NormalWeb"/>
        <w:ind w:left="720"/>
      </w:pPr>
      <w:r>
        <w:t>The experts shall submit:</w:t>
      </w:r>
    </w:p>
    <w:p w14:paraId="1D984AD5" w14:textId="77777777" w:rsidR="00E842AC" w:rsidRDefault="00E842AC" w:rsidP="00F8132D">
      <w:pPr>
        <w:pStyle w:val="NormalWeb"/>
        <w:numPr>
          <w:ilvl w:val="0"/>
          <w:numId w:val="39"/>
        </w:numPr>
        <w:tabs>
          <w:tab w:val="clear" w:pos="720"/>
          <w:tab w:val="num" w:pos="1440"/>
        </w:tabs>
        <w:ind w:left="1440"/>
      </w:pPr>
      <w:r>
        <w:lastRenderedPageBreak/>
        <w:t>technical feasibility and implementation recommendations;</w:t>
      </w:r>
    </w:p>
    <w:p w14:paraId="767B9828" w14:textId="77777777" w:rsidR="00E842AC" w:rsidRDefault="00E842AC" w:rsidP="00F8132D">
      <w:pPr>
        <w:pStyle w:val="NormalWeb"/>
        <w:numPr>
          <w:ilvl w:val="0"/>
          <w:numId w:val="39"/>
        </w:numPr>
        <w:tabs>
          <w:tab w:val="clear" w:pos="720"/>
          <w:tab w:val="num" w:pos="1440"/>
        </w:tabs>
        <w:ind w:left="1440"/>
      </w:pPr>
      <w:r>
        <w:t>technical monitoring and validation observations;</w:t>
      </w:r>
    </w:p>
    <w:p w14:paraId="7E891B02" w14:textId="77777777" w:rsidR="00E842AC" w:rsidRDefault="00E842AC" w:rsidP="00F8132D">
      <w:pPr>
        <w:pStyle w:val="NormalWeb"/>
        <w:numPr>
          <w:ilvl w:val="0"/>
          <w:numId w:val="39"/>
        </w:numPr>
        <w:tabs>
          <w:tab w:val="clear" w:pos="720"/>
          <w:tab w:val="num" w:pos="1440"/>
        </w:tabs>
        <w:ind w:left="1440"/>
      </w:pPr>
      <w:r>
        <w:t>technical advisory notes related to pilot implementation activities.</w:t>
      </w:r>
    </w:p>
    <w:p w14:paraId="6CDE0BE4" w14:textId="77777777" w:rsidR="00E842AC" w:rsidRDefault="00E842AC" w:rsidP="00F8132D">
      <w:pPr>
        <w:pStyle w:val="Heading4"/>
        <w:ind w:left="720"/>
      </w:pPr>
      <w:r>
        <w:t>Duration</w:t>
      </w:r>
    </w:p>
    <w:p w14:paraId="188F8C16" w14:textId="51A8F3F2" w:rsidR="00E842AC" w:rsidRDefault="00E842AC" w:rsidP="00F8132D">
      <w:pPr>
        <w:pStyle w:val="NormalWeb"/>
        <w:ind w:left="720"/>
      </w:pPr>
      <w:r>
        <w:t>Estimated level of effort: 7 working days per expert.</w:t>
      </w:r>
    </w:p>
    <w:p w14:paraId="55FDF59E" w14:textId="77777777" w:rsidR="00E842AC" w:rsidRDefault="00E842AC" w:rsidP="00E842AC">
      <w:pPr>
        <w:pStyle w:val="Heading3"/>
      </w:pPr>
      <w:r>
        <w:t>C. Training and Knowledge Transfer Activities</w:t>
      </w:r>
    </w:p>
    <w:p w14:paraId="0AC48F22" w14:textId="77777777" w:rsidR="00E842AC" w:rsidRDefault="00E842AC" w:rsidP="00F8132D">
      <w:pPr>
        <w:pStyle w:val="Heading4"/>
        <w:ind w:left="720"/>
      </w:pPr>
      <w:r>
        <w:t>Scope of Work</w:t>
      </w:r>
    </w:p>
    <w:p w14:paraId="31B3D1EF" w14:textId="77777777" w:rsidR="00E842AC" w:rsidRDefault="00E842AC" w:rsidP="00F8132D">
      <w:pPr>
        <w:pStyle w:val="NormalWeb"/>
        <w:ind w:left="720"/>
      </w:pPr>
      <w:r>
        <w:t>The experts shall contribute to local knowledge transfer and training activities related to the technologies, operational models, and practices observed during the Job Shadowing activities.</w:t>
      </w:r>
    </w:p>
    <w:p w14:paraId="5A899BB5" w14:textId="77777777" w:rsidR="00E842AC" w:rsidRDefault="00E842AC" w:rsidP="00F8132D">
      <w:pPr>
        <w:pStyle w:val="NormalWeb"/>
        <w:ind w:left="720"/>
      </w:pPr>
      <w:r>
        <w:t>The experts shall:</w:t>
      </w:r>
    </w:p>
    <w:p w14:paraId="3D857972" w14:textId="68620AD5" w:rsidR="00E842AC" w:rsidRDefault="004965EE" w:rsidP="00F8132D">
      <w:pPr>
        <w:pStyle w:val="NormalWeb"/>
        <w:numPr>
          <w:ilvl w:val="0"/>
          <w:numId w:val="40"/>
        </w:numPr>
        <w:tabs>
          <w:tab w:val="clear" w:pos="720"/>
          <w:tab w:val="num" w:pos="1440"/>
        </w:tabs>
        <w:ind w:left="1440"/>
      </w:pPr>
      <w:r w:rsidRPr="004965EE">
        <w:t>participate in technical knowledge transfer and training activities targeting relevant stakeholders and beneficiaries.</w:t>
      </w:r>
    </w:p>
    <w:p w14:paraId="4490ECF2" w14:textId="77777777" w:rsidR="00E842AC" w:rsidRDefault="00E842AC" w:rsidP="00F8132D">
      <w:pPr>
        <w:pStyle w:val="Heading4"/>
        <w:ind w:left="720"/>
      </w:pPr>
      <w:r>
        <w:t>Deliverables</w:t>
      </w:r>
    </w:p>
    <w:p w14:paraId="06DED44A" w14:textId="77777777" w:rsidR="00E842AC" w:rsidRDefault="00E842AC" w:rsidP="00F8132D">
      <w:pPr>
        <w:pStyle w:val="NormalWeb"/>
        <w:ind w:left="720"/>
      </w:pPr>
      <w:r>
        <w:t>The experts shall provide:</w:t>
      </w:r>
    </w:p>
    <w:p w14:paraId="0B7BD065" w14:textId="458DE3B5" w:rsidR="00E842AC" w:rsidRDefault="00E842AC" w:rsidP="005E5B4D">
      <w:pPr>
        <w:pStyle w:val="NormalWeb"/>
        <w:numPr>
          <w:ilvl w:val="0"/>
          <w:numId w:val="41"/>
        </w:numPr>
        <w:tabs>
          <w:tab w:val="clear" w:pos="720"/>
          <w:tab w:val="num" w:pos="1440"/>
        </w:tabs>
        <w:ind w:left="1440"/>
      </w:pPr>
      <w:r>
        <w:t>delivery of one (1) training day per expert</w:t>
      </w:r>
      <w:r w:rsidR="00814D44">
        <w:rPr>
          <w:lang w:val="en-GB"/>
        </w:rPr>
        <w:t>.</w:t>
      </w:r>
    </w:p>
    <w:p w14:paraId="32A35254" w14:textId="77777777" w:rsidR="00E842AC" w:rsidRDefault="00E842AC" w:rsidP="00F8132D">
      <w:pPr>
        <w:pStyle w:val="Heading4"/>
        <w:ind w:left="720"/>
      </w:pPr>
      <w:r>
        <w:t>Duration</w:t>
      </w:r>
    </w:p>
    <w:p w14:paraId="3CDD50D2" w14:textId="7A7E30E8" w:rsidR="00E842AC" w:rsidRDefault="00E842AC" w:rsidP="005E5B4D">
      <w:pPr>
        <w:pStyle w:val="NormalWeb"/>
        <w:ind w:left="720"/>
      </w:pPr>
      <w:r>
        <w:t>Estimated level of effort: 1 working day per expert.</w:t>
      </w:r>
    </w:p>
    <w:p w14:paraId="117249DB" w14:textId="1671AE4E" w:rsidR="00E842AC" w:rsidRDefault="00E842AC" w:rsidP="00E842AC">
      <w:pPr>
        <w:pStyle w:val="Heading3"/>
      </w:pPr>
      <w:r>
        <w:t xml:space="preserve">D. </w:t>
      </w:r>
      <w:r w:rsidR="001F1DEA" w:rsidRPr="001F1DEA">
        <w:t>Stakeholder Coordination, Sustainability, and Scaling-Up Support</w:t>
      </w:r>
    </w:p>
    <w:p w14:paraId="6888078F" w14:textId="77777777" w:rsidR="00E842AC" w:rsidRDefault="00E842AC" w:rsidP="00F8132D">
      <w:pPr>
        <w:pStyle w:val="Heading4"/>
        <w:ind w:left="720"/>
      </w:pPr>
      <w:r>
        <w:t>Scope of Work</w:t>
      </w:r>
    </w:p>
    <w:p w14:paraId="4596F136" w14:textId="2612E2E4" w:rsidR="00E842AC" w:rsidRDefault="00E842AC" w:rsidP="00F8132D">
      <w:pPr>
        <w:pStyle w:val="NormalWeb"/>
        <w:ind w:left="720"/>
      </w:pPr>
      <w:r>
        <w:t>The experts shall contribute to stakeholder engagement, sustainability, and scaling-up activities related to pilot implementation.</w:t>
      </w:r>
    </w:p>
    <w:p w14:paraId="4AB06C8C" w14:textId="77777777" w:rsidR="00E842AC" w:rsidRDefault="00E842AC" w:rsidP="00F8132D">
      <w:pPr>
        <w:pStyle w:val="NormalWeb"/>
        <w:ind w:left="720"/>
      </w:pPr>
      <w:r>
        <w:t>The experts shall:</w:t>
      </w:r>
    </w:p>
    <w:p w14:paraId="6D411F15" w14:textId="67EC5202" w:rsidR="00E842AC" w:rsidRDefault="00E842AC" w:rsidP="00F8132D">
      <w:pPr>
        <w:pStyle w:val="NormalWeb"/>
        <w:numPr>
          <w:ilvl w:val="0"/>
          <w:numId w:val="42"/>
        </w:numPr>
        <w:tabs>
          <w:tab w:val="clear" w:pos="720"/>
          <w:tab w:val="num" w:pos="1440"/>
        </w:tabs>
        <w:ind w:left="1440"/>
      </w:pPr>
      <w:r>
        <w:t xml:space="preserve">contribute to discussions related to sustainability and scaling-up of pilot </w:t>
      </w:r>
      <w:r w:rsidR="00652B30">
        <w:rPr>
          <w:lang w:val="en-GB"/>
        </w:rPr>
        <w:t>actions</w:t>
      </w:r>
      <w:r>
        <w:t>;</w:t>
      </w:r>
    </w:p>
    <w:p w14:paraId="76525BDE" w14:textId="77777777" w:rsidR="00E842AC" w:rsidRDefault="00E842AC" w:rsidP="00F8132D">
      <w:pPr>
        <w:pStyle w:val="NormalWeb"/>
        <w:numPr>
          <w:ilvl w:val="0"/>
          <w:numId w:val="42"/>
        </w:numPr>
        <w:tabs>
          <w:tab w:val="clear" w:pos="720"/>
          <w:tab w:val="num" w:pos="1440"/>
        </w:tabs>
        <w:ind w:left="1440"/>
      </w:pPr>
      <w:r>
        <w:t>support stakeholder consultations related to cooperation frameworks and sustainability approaches;</w:t>
      </w:r>
    </w:p>
    <w:p w14:paraId="509B3B93" w14:textId="134BC3D0" w:rsidR="00E842AC" w:rsidRDefault="001154F0" w:rsidP="00F8132D">
      <w:pPr>
        <w:pStyle w:val="NormalWeb"/>
        <w:numPr>
          <w:ilvl w:val="0"/>
          <w:numId w:val="42"/>
        </w:numPr>
        <w:tabs>
          <w:tab w:val="clear" w:pos="720"/>
          <w:tab w:val="num" w:pos="1440"/>
        </w:tabs>
        <w:ind w:left="1440"/>
      </w:pPr>
      <w:r w:rsidRPr="001154F0">
        <w:lastRenderedPageBreak/>
        <w:t>contribute technical and sectoral input related to cooperation discussions and potential MoUs</w:t>
      </w:r>
      <w:r w:rsidR="00E842AC">
        <w:t>;</w:t>
      </w:r>
    </w:p>
    <w:p w14:paraId="4CF713A9" w14:textId="24FAC6BE" w:rsidR="00814D44" w:rsidRDefault="00814D44" w:rsidP="00F8132D">
      <w:pPr>
        <w:pStyle w:val="NormalWeb"/>
        <w:numPr>
          <w:ilvl w:val="0"/>
          <w:numId w:val="42"/>
        </w:numPr>
        <w:tabs>
          <w:tab w:val="clear" w:pos="720"/>
          <w:tab w:val="num" w:pos="1440"/>
        </w:tabs>
        <w:ind w:left="1440"/>
      </w:pPr>
      <w:r w:rsidRPr="00814D44">
        <w:t>participate in coordination discussions related to pilot progress and sustainability when required</w:t>
      </w:r>
      <w:r>
        <w:rPr>
          <w:lang w:val="en-GB"/>
        </w:rPr>
        <w:t>;</w:t>
      </w:r>
    </w:p>
    <w:p w14:paraId="0D3C3056" w14:textId="6217FAA2" w:rsidR="00E842AC" w:rsidRDefault="00E842AC" w:rsidP="00F8132D">
      <w:pPr>
        <w:pStyle w:val="NormalWeb"/>
        <w:numPr>
          <w:ilvl w:val="0"/>
          <w:numId w:val="42"/>
        </w:numPr>
        <w:tabs>
          <w:tab w:val="clear" w:pos="720"/>
          <w:tab w:val="num" w:pos="1440"/>
        </w:tabs>
        <w:ind w:left="1440"/>
      </w:pPr>
      <w:r>
        <w:t>contribute recommendations supporting scaling-up, replication, and sustainability planning activities.</w:t>
      </w:r>
    </w:p>
    <w:p w14:paraId="59171733" w14:textId="77777777" w:rsidR="00E842AC" w:rsidRDefault="00E842AC" w:rsidP="00F8132D">
      <w:pPr>
        <w:pStyle w:val="Heading4"/>
        <w:ind w:left="720"/>
      </w:pPr>
      <w:r>
        <w:t>Deliverables</w:t>
      </w:r>
    </w:p>
    <w:p w14:paraId="65E1F610" w14:textId="77777777" w:rsidR="00E842AC" w:rsidRDefault="00E842AC" w:rsidP="00F8132D">
      <w:pPr>
        <w:pStyle w:val="NormalWeb"/>
        <w:ind w:left="720"/>
      </w:pPr>
      <w:r>
        <w:t>The experts shall submit:</w:t>
      </w:r>
    </w:p>
    <w:p w14:paraId="28A9AB4A" w14:textId="5B6C72A6" w:rsidR="00E842AC" w:rsidRDefault="00E842AC" w:rsidP="00F8132D">
      <w:pPr>
        <w:pStyle w:val="NormalWeb"/>
        <w:numPr>
          <w:ilvl w:val="0"/>
          <w:numId w:val="43"/>
        </w:numPr>
        <w:tabs>
          <w:tab w:val="clear" w:pos="720"/>
          <w:tab w:val="num" w:pos="1440"/>
        </w:tabs>
        <w:ind w:left="1440"/>
      </w:pPr>
      <w:r>
        <w:t>contribution notes and recommendations related to stakeholder coordination, sustainability, and scaling-up activities;</w:t>
      </w:r>
    </w:p>
    <w:p w14:paraId="3D443AA0" w14:textId="7F0F877B" w:rsidR="00B83338" w:rsidRDefault="00E842AC" w:rsidP="000D56C6">
      <w:pPr>
        <w:pStyle w:val="NormalWeb"/>
        <w:numPr>
          <w:ilvl w:val="0"/>
          <w:numId w:val="43"/>
        </w:numPr>
        <w:tabs>
          <w:tab w:val="clear" w:pos="720"/>
          <w:tab w:val="num" w:pos="1440"/>
        </w:tabs>
        <w:ind w:left="1440"/>
      </w:pPr>
      <w:r>
        <w:t>technical input supporting cooperation framework and MoU discussions;</w:t>
      </w:r>
    </w:p>
    <w:p w14:paraId="733B16D9" w14:textId="710C8E4E" w:rsidR="00B83338" w:rsidRDefault="00814D44" w:rsidP="00B83338">
      <w:pPr>
        <w:pStyle w:val="NormalWeb"/>
        <w:numPr>
          <w:ilvl w:val="0"/>
          <w:numId w:val="43"/>
        </w:numPr>
        <w:tabs>
          <w:tab w:val="clear" w:pos="720"/>
          <w:tab w:val="num" w:pos="1440"/>
        </w:tabs>
        <w:ind w:left="1440"/>
      </w:pPr>
      <w:r w:rsidRPr="00814D44">
        <w:t>recommendations supporting sustainability, uptake, scaling, and replication planning activities.</w:t>
      </w:r>
    </w:p>
    <w:p w14:paraId="418DCCC4" w14:textId="77777777" w:rsidR="00E842AC" w:rsidRDefault="00E842AC" w:rsidP="00F8132D">
      <w:pPr>
        <w:pStyle w:val="Heading4"/>
        <w:ind w:left="720"/>
      </w:pPr>
      <w:r>
        <w:t>Duration</w:t>
      </w:r>
    </w:p>
    <w:p w14:paraId="54B4710D" w14:textId="4A400669" w:rsidR="00B34C2D" w:rsidRDefault="00E842AC" w:rsidP="00B34C2D">
      <w:pPr>
        <w:pStyle w:val="NormalWeb"/>
        <w:ind w:left="720"/>
      </w:pPr>
      <w:r>
        <w:t>Estimated level of effort: 2 working days per expert.</w:t>
      </w:r>
    </w:p>
    <w:p w14:paraId="70FEB9AA" w14:textId="77777777" w:rsidR="00E842AC" w:rsidRDefault="00E842AC" w:rsidP="00B34C2D">
      <w:pPr>
        <w:pStyle w:val="Heading2"/>
      </w:pPr>
      <w:r>
        <w:t>4. Duration of Assignment</w:t>
      </w:r>
    </w:p>
    <w:p w14:paraId="7725951B" w14:textId="77777777" w:rsidR="00E842AC" w:rsidRDefault="00E842AC" w:rsidP="000937B2">
      <w:pPr>
        <w:pStyle w:val="NormalWeb"/>
      </w:pPr>
      <w:r>
        <w:t>Activities under this assignment will be implemented progressively according to the project implementation timeline and operational needs.</w:t>
      </w:r>
    </w:p>
    <w:p w14:paraId="77D631CE" w14:textId="77777777" w:rsidR="00E842AC" w:rsidRDefault="00E842AC" w:rsidP="000937B2">
      <w:pPr>
        <w:pStyle w:val="NormalWeb"/>
      </w:pPr>
      <w:r>
        <w:t>The assignment is expected to cover activities implemented during the following project phases:</w:t>
      </w:r>
    </w:p>
    <w:p w14:paraId="6F41958F" w14:textId="45C388FD" w:rsidR="00E842AC" w:rsidRDefault="00E842AC" w:rsidP="00F8132D">
      <w:pPr>
        <w:pStyle w:val="NormalWeb"/>
        <w:numPr>
          <w:ilvl w:val="0"/>
          <w:numId w:val="44"/>
        </w:numPr>
        <w:tabs>
          <w:tab w:val="clear" w:pos="720"/>
          <w:tab w:val="num" w:pos="1440"/>
        </w:tabs>
        <w:ind w:left="1440"/>
      </w:pPr>
      <w:r>
        <w:t>Job Shadowing activities and workshops: Month 10;</w:t>
      </w:r>
    </w:p>
    <w:p w14:paraId="4213742D" w14:textId="77777777" w:rsidR="00E842AC" w:rsidRDefault="00E842AC" w:rsidP="00F8132D">
      <w:pPr>
        <w:pStyle w:val="NormalWeb"/>
        <w:numPr>
          <w:ilvl w:val="0"/>
          <w:numId w:val="44"/>
        </w:numPr>
        <w:tabs>
          <w:tab w:val="clear" w:pos="720"/>
          <w:tab w:val="num" w:pos="1440"/>
        </w:tabs>
        <w:ind w:left="1440"/>
      </w:pPr>
      <w:r>
        <w:t>Feasibility assessment activities: Months 15–18;</w:t>
      </w:r>
    </w:p>
    <w:p w14:paraId="7F5CCB78" w14:textId="77777777" w:rsidR="00E842AC" w:rsidRDefault="00E842AC" w:rsidP="00F8132D">
      <w:pPr>
        <w:pStyle w:val="NormalWeb"/>
        <w:numPr>
          <w:ilvl w:val="0"/>
          <w:numId w:val="44"/>
        </w:numPr>
        <w:tabs>
          <w:tab w:val="clear" w:pos="720"/>
          <w:tab w:val="num" w:pos="1440"/>
        </w:tabs>
        <w:ind w:left="1440"/>
      </w:pPr>
      <w:r>
        <w:t>Pilot implementation, monitoring, and validation activities: Months 19–24;</w:t>
      </w:r>
    </w:p>
    <w:p w14:paraId="25F6B4BB" w14:textId="77777777" w:rsidR="00E842AC" w:rsidRDefault="00E842AC" w:rsidP="00F8132D">
      <w:pPr>
        <w:pStyle w:val="NormalWeb"/>
        <w:numPr>
          <w:ilvl w:val="0"/>
          <w:numId w:val="44"/>
        </w:numPr>
        <w:tabs>
          <w:tab w:val="clear" w:pos="720"/>
          <w:tab w:val="num" w:pos="1440"/>
        </w:tabs>
        <w:ind w:left="1440"/>
      </w:pPr>
      <w:r>
        <w:t>Training activities: Months 25–26;</w:t>
      </w:r>
    </w:p>
    <w:p w14:paraId="29D2FBC3" w14:textId="796B1E8F" w:rsidR="00B34C2D" w:rsidRDefault="00E842AC" w:rsidP="00B34C2D">
      <w:pPr>
        <w:pStyle w:val="NormalWeb"/>
        <w:numPr>
          <w:ilvl w:val="0"/>
          <w:numId w:val="44"/>
        </w:numPr>
        <w:tabs>
          <w:tab w:val="clear" w:pos="720"/>
          <w:tab w:val="num" w:pos="1440"/>
        </w:tabs>
        <w:ind w:left="1440"/>
      </w:pPr>
      <w:r>
        <w:t>MoU, sustainability, and scaling-up activities: Months 26–30.</w:t>
      </w:r>
    </w:p>
    <w:p w14:paraId="6366CC10" w14:textId="13C0C9CF" w:rsidR="00AB0CBA" w:rsidRPr="00AB0CBA" w:rsidRDefault="00AB0CBA" w:rsidP="00AB0CBA">
      <w:pPr>
        <w:pStyle w:val="NormalWeb"/>
      </w:pPr>
      <w:r w:rsidRPr="00AB0CBA">
        <w:t xml:space="preserve">The Job Shadowing activities in Italy and Spain are currently expected to take place between </w:t>
      </w:r>
      <w:r>
        <w:rPr>
          <w:lang w:val="en-GB"/>
        </w:rPr>
        <w:t>4</w:t>
      </w:r>
      <w:r w:rsidRPr="00AB0CBA">
        <w:t xml:space="preserve"> October 2026 and </w:t>
      </w:r>
      <w:r>
        <w:rPr>
          <w:lang w:val="en-GB"/>
        </w:rPr>
        <w:t>17</w:t>
      </w:r>
      <w:r w:rsidRPr="00AB0CBA">
        <w:t xml:space="preserve"> October 2026. Therefore, the selected experts must demonstrate full availability during this period.</w:t>
      </w:r>
    </w:p>
    <w:p w14:paraId="79AF77AC" w14:textId="77777777" w:rsidR="00AB0CBA" w:rsidRPr="00AB0CBA" w:rsidRDefault="00AB0CBA" w:rsidP="00AB0CBA">
      <w:pPr>
        <w:pStyle w:val="NormalWeb"/>
      </w:pPr>
      <w:r w:rsidRPr="00AB0CBA">
        <w:t>Other assignment activities related to pilot support, training, sustainability, and scaling-up activities are expected to be implemented progressively and flexibly according to the project operational timeline and coordination needs.</w:t>
      </w:r>
    </w:p>
    <w:p w14:paraId="2D79B4F1" w14:textId="77777777" w:rsidR="00E842AC" w:rsidRDefault="00E842AC" w:rsidP="00B34C2D">
      <w:pPr>
        <w:pStyle w:val="Heading2"/>
      </w:pPr>
      <w:r>
        <w:lastRenderedPageBreak/>
        <w:t>5. Required Qualifications</w:t>
      </w:r>
    </w:p>
    <w:p w14:paraId="311F5EC3" w14:textId="77777777" w:rsidR="00E842AC" w:rsidRDefault="00E842AC" w:rsidP="00F8132D">
      <w:pPr>
        <w:pStyle w:val="NormalWeb"/>
        <w:ind w:left="360"/>
      </w:pPr>
      <w:r>
        <w:t>The experts should demonstrate:</w:t>
      </w:r>
    </w:p>
    <w:p w14:paraId="1B83372F" w14:textId="77777777" w:rsidR="00E842AC" w:rsidRDefault="00E842AC" w:rsidP="00412AC9">
      <w:pPr>
        <w:pStyle w:val="NormalWeb"/>
        <w:numPr>
          <w:ilvl w:val="0"/>
          <w:numId w:val="45"/>
        </w:numPr>
        <w:tabs>
          <w:tab w:val="clear" w:pos="720"/>
          <w:tab w:val="num" w:pos="1080"/>
        </w:tabs>
        <w:ind w:left="567"/>
      </w:pPr>
      <w:r>
        <w:t>technical experience in circular economy and/or agricultural waste valorisation;</w:t>
      </w:r>
    </w:p>
    <w:p w14:paraId="13E8BF79" w14:textId="77777777" w:rsidR="00E842AC" w:rsidRDefault="00E842AC" w:rsidP="00412AC9">
      <w:pPr>
        <w:pStyle w:val="NormalWeb"/>
        <w:numPr>
          <w:ilvl w:val="0"/>
          <w:numId w:val="45"/>
        </w:numPr>
        <w:tabs>
          <w:tab w:val="clear" w:pos="720"/>
          <w:tab w:val="num" w:pos="1080"/>
        </w:tabs>
        <w:ind w:left="567"/>
      </w:pPr>
      <w:r>
        <w:t>experience related to agri-food systems, environmental management, bioeconomy, or related sectors;</w:t>
      </w:r>
    </w:p>
    <w:p w14:paraId="63063DAD" w14:textId="77777777" w:rsidR="00E842AC" w:rsidRDefault="00E842AC" w:rsidP="00412AC9">
      <w:pPr>
        <w:pStyle w:val="NormalWeb"/>
        <w:numPr>
          <w:ilvl w:val="0"/>
          <w:numId w:val="45"/>
        </w:numPr>
        <w:tabs>
          <w:tab w:val="clear" w:pos="720"/>
          <w:tab w:val="num" w:pos="1080"/>
        </w:tabs>
        <w:ind w:left="567"/>
      </w:pPr>
      <w:r>
        <w:t>ability to analyse technical systems and prepare analytical reports;</w:t>
      </w:r>
    </w:p>
    <w:p w14:paraId="017902F3" w14:textId="77777777" w:rsidR="00E842AC" w:rsidRDefault="00E842AC" w:rsidP="00412AC9">
      <w:pPr>
        <w:pStyle w:val="NormalWeb"/>
        <w:numPr>
          <w:ilvl w:val="0"/>
          <w:numId w:val="45"/>
        </w:numPr>
        <w:tabs>
          <w:tab w:val="clear" w:pos="720"/>
          <w:tab w:val="num" w:pos="1080"/>
        </w:tabs>
        <w:ind w:left="567"/>
      </w:pPr>
      <w:r>
        <w:t>experience in feasibility assessment, pilot support, monitoring, training, or stakeholder coordination activities;</w:t>
      </w:r>
    </w:p>
    <w:p w14:paraId="3FBDFBF7" w14:textId="7522CDC4" w:rsidR="00E842AC" w:rsidRDefault="00E842AC" w:rsidP="00412AC9">
      <w:pPr>
        <w:pStyle w:val="NormalWeb"/>
        <w:numPr>
          <w:ilvl w:val="0"/>
          <w:numId w:val="45"/>
        </w:numPr>
        <w:tabs>
          <w:tab w:val="clear" w:pos="720"/>
          <w:tab w:val="num" w:pos="1080"/>
        </w:tabs>
        <w:ind w:left="567"/>
      </w:pPr>
      <w:r>
        <w:t>familiarity with Mediterranean agricultural and institutional contexts is considered an asset.</w:t>
      </w:r>
    </w:p>
    <w:p w14:paraId="7677F9A6" w14:textId="77777777" w:rsidR="00E842AC" w:rsidRPr="00B34C2D" w:rsidRDefault="00E842AC" w:rsidP="00B34C2D">
      <w:pPr>
        <w:pStyle w:val="Heading2"/>
      </w:pPr>
      <w:r w:rsidRPr="00B34C2D">
        <w:t>6. Selection Criteria</w:t>
      </w:r>
    </w:p>
    <w:p w14:paraId="73B13F66" w14:textId="77777777" w:rsidR="00E842AC" w:rsidRDefault="00E842AC" w:rsidP="00F8132D">
      <w:pPr>
        <w:pStyle w:val="NormalWeb"/>
        <w:ind w:left="360"/>
      </w:pPr>
      <w:r>
        <w:t>Applications will be evaluated based on:</w:t>
      </w:r>
    </w:p>
    <w:p w14:paraId="71DA340C" w14:textId="77777777" w:rsidR="00E842AC" w:rsidRDefault="00E842AC" w:rsidP="00412AC9">
      <w:pPr>
        <w:pStyle w:val="NormalWeb"/>
        <w:numPr>
          <w:ilvl w:val="0"/>
          <w:numId w:val="46"/>
        </w:numPr>
        <w:tabs>
          <w:tab w:val="clear" w:pos="720"/>
          <w:tab w:val="num" w:pos="1080"/>
        </w:tabs>
        <w:ind w:left="567"/>
      </w:pPr>
      <w:r>
        <w:t>relevant technical experience;</w:t>
      </w:r>
    </w:p>
    <w:p w14:paraId="5B0BA446" w14:textId="77777777" w:rsidR="00E842AC" w:rsidRDefault="00E842AC" w:rsidP="00412AC9">
      <w:pPr>
        <w:pStyle w:val="NormalWeb"/>
        <w:numPr>
          <w:ilvl w:val="0"/>
          <w:numId w:val="46"/>
        </w:numPr>
        <w:tabs>
          <w:tab w:val="clear" w:pos="720"/>
          <w:tab w:val="num" w:pos="1080"/>
        </w:tabs>
        <w:ind w:left="567"/>
      </w:pPr>
      <w:r>
        <w:t>relevance of sector expertise;</w:t>
      </w:r>
    </w:p>
    <w:p w14:paraId="68A9EB44" w14:textId="77777777" w:rsidR="00E842AC" w:rsidRDefault="00E842AC" w:rsidP="00412AC9">
      <w:pPr>
        <w:pStyle w:val="NormalWeb"/>
        <w:numPr>
          <w:ilvl w:val="0"/>
          <w:numId w:val="46"/>
        </w:numPr>
        <w:tabs>
          <w:tab w:val="clear" w:pos="720"/>
          <w:tab w:val="num" w:pos="1080"/>
        </w:tabs>
        <w:ind w:left="567"/>
      </w:pPr>
      <w:r>
        <w:t>experience in feasibility assessment, monitoring, training, or advisory activities;</w:t>
      </w:r>
    </w:p>
    <w:p w14:paraId="59B387BD" w14:textId="77777777" w:rsidR="00E842AC" w:rsidRDefault="00E842AC" w:rsidP="00412AC9">
      <w:pPr>
        <w:pStyle w:val="NormalWeb"/>
        <w:numPr>
          <w:ilvl w:val="0"/>
          <w:numId w:val="46"/>
        </w:numPr>
        <w:tabs>
          <w:tab w:val="clear" w:pos="720"/>
          <w:tab w:val="num" w:pos="1080"/>
        </w:tabs>
        <w:ind w:left="567"/>
      </w:pPr>
      <w:r>
        <w:t>understanding of circular economy and agricultural waste valorisation;</w:t>
      </w:r>
    </w:p>
    <w:p w14:paraId="576B370C" w14:textId="77777777" w:rsidR="00E842AC" w:rsidRDefault="00E842AC" w:rsidP="00412AC9">
      <w:pPr>
        <w:pStyle w:val="NormalWeb"/>
        <w:numPr>
          <w:ilvl w:val="0"/>
          <w:numId w:val="46"/>
        </w:numPr>
        <w:tabs>
          <w:tab w:val="clear" w:pos="720"/>
          <w:tab w:val="num" w:pos="1080"/>
        </w:tabs>
        <w:ind w:left="567"/>
      </w:pPr>
      <w:r>
        <w:t>quality and relevance of the proposed profile.</w:t>
      </w:r>
    </w:p>
    <w:p w14:paraId="73D62507" w14:textId="2DD522B4" w:rsidR="00E842AC" w:rsidRDefault="00412AC9" w:rsidP="00F8132D">
      <w:pPr>
        <w:pStyle w:val="NormalWeb"/>
        <w:ind w:left="360"/>
      </w:pPr>
      <w:r w:rsidRPr="00412AC9">
        <w:t>Priority will be given to candidates demonstrating relevant institutional, technical, and sectoral experience related to the project themes, particularly experts with demonstrated experience working with or advising relevant national policymakers, public institutions, sectoral authorities, agricultural or industrial administrations, or public technical bodies connected to the project implementation areas, where such engagement may demonstrate a positive effect on the institutional uptake, sustainability, replication, and scaling-up potential of the project’s pilot approaches and technical solutions</w:t>
      </w:r>
      <w:r w:rsidR="00AF373B" w:rsidRPr="00AF373B">
        <w:t>.</w:t>
      </w:r>
    </w:p>
    <w:p w14:paraId="79576FE1" w14:textId="77777777" w:rsidR="00E842AC" w:rsidRPr="00B34C2D" w:rsidRDefault="00E842AC" w:rsidP="00B34C2D">
      <w:pPr>
        <w:pStyle w:val="Heading2"/>
      </w:pPr>
      <w:r w:rsidRPr="00B34C2D">
        <w:t>7. Reporting and Supervision</w:t>
      </w:r>
    </w:p>
    <w:p w14:paraId="678528D2" w14:textId="3D6A898F" w:rsidR="00C00F3F" w:rsidRPr="000937B2" w:rsidRDefault="000937B2" w:rsidP="00796851">
      <w:pPr>
        <w:spacing w:after="0" w:line="240" w:lineRule="auto"/>
        <w:ind w:left="426"/>
        <w:rPr>
          <w:rFonts w:asciiTheme="minorBidi" w:hAnsiTheme="minorBidi" w:cstheme="minorBidi"/>
          <w:sz w:val="28"/>
          <w:szCs w:val="28"/>
          <w:rtl/>
          <w:lang w:val="en-LB" w:bidi="ar-LB"/>
        </w:rPr>
      </w:pPr>
      <w:r w:rsidRPr="000937B2">
        <w:rPr>
          <w:rFonts w:ascii="Times New Roman" w:hAnsi="Times New Roman" w:cs="Times New Roman"/>
          <w:sz w:val="24"/>
          <w:szCs w:val="24"/>
          <w:lang w:val="en-LB"/>
        </w:rPr>
        <w:t>The selected experts will work under the supervision of the contracting partner and in coordination with the relevant ORIENTATE project activities.</w:t>
      </w:r>
      <w:r w:rsidRPr="000937B2">
        <w:rPr>
          <w:rFonts w:ascii="Times New Roman" w:hAnsi="Times New Roman" w:cs="Times New Roman"/>
          <w:sz w:val="24"/>
          <w:szCs w:val="24"/>
          <w:lang w:val="en-LB"/>
        </w:rPr>
        <w:br/>
      </w:r>
      <w:r w:rsidRPr="000937B2">
        <w:rPr>
          <w:rFonts w:ascii="Times New Roman" w:hAnsi="Times New Roman" w:cs="Times New Roman"/>
          <w:sz w:val="24"/>
          <w:szCs w:val="24"/>
          <w:lang w:val="en-LB"/>
        </w:rPr>
        <w:br/>
        <w:t>The detailed supervision, coordination, reporting, and task distribution mechanisms between the selected experts and the contracting partner shall be further defined in the contractual agreement.</w:t>
      </w:r>
      <w:r w:rsidRPr="000937B2">
        <w:rPr>
          <w:rFonts w:ascii="Times New Roman" w:hAnsi="Times New Roman" w:cs="Times New Roman"/>
          <w:sz w:val="24"/>
          <w:szCs w:val="24"/>
          <w:lang w:val="en-LB"/>
        </w:rPr>
        <w:br/>
      </w:r>
      <w:r w:rsidRPr="000937B2">
        <w:rPr>
          <w:rFonts w:ascii="Times New Roman" w:hAnsi="Times New Roman" w:cs="Times New Roman"/>
          <w:sz w:val="24"/>
          <w:szCs w:val="24"/>
          <w:lang w:val="en-LB"/>
        </w:rPr>
        <w:br/>
        <w:t>All deliverables shall be submitted to and approved by the contracting partner before being considered completed.</w:t>
      </w:r>
    </w:p>
    <w:sectPr w:rsidR="00C00F3F" w:rsidRPr="000937B2" w:rsidSect="003162B5">
      <w:headerReference w:type="even" r:id="rId9"/>
      <w:headerReference w:type="default" r:id="rId10"/>
      <w:footerReference w:type="even" r:id="rId11"/>
      <w:footerReference w:type="default" r:id="rId12"/>
      <w:headerReference w:type="first" r:id="rId13"/>
      <w:footerReference w:type="first" r:id="rId14"/>
      <w:pgSz w:w="12240" w:h="15840" w:code="1"/>
      <w:pgMar w:top="1271" w:right="1440" w:bottom="17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94DA" w14:textId="77777777" w:rsidR="00B85904" w:rsidRDefault="00B85904" w:rsidP="00A3172F">
      <w:pPr>
        <w:spacing w:after="0" w:line="240" w:lineRule="auto"/>
      </w:pPr>
      <w:r>
        <w:separator/>
      </w:r>
    </w:p>
    <w:p w14:paraId="5AE55EB0" w14:textId="77777777" w:rsidR="00B85904" w:rsidRDefault="00B85904"/>
  </w:endnote>
  <w:endnote w:type="continuationSeparator" w:id="0">
    <w:p w14:paraId="22FB1458" w14:textId="77777777" w:rsidR="00B85904" w:rsidRDefault="00B85904" w:rsidP="00A3172F">
      <w:pPr>
        <w:spacing w:after="0" w:line="240" w:lineRule="auto"/>
      </w:pPr>
      <w:r>
        <w:continuationSeparator/>
      </w:r>
    </w:p>
    <w:p w14:paraId="15483B61" w14:textId="77777777" w:rsidR="00B85904" w:rsidRDefault="00B85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4258"/>
      <w:docPartObj>
        <w:docPartGallery w:val="Page Numbers (Bottom of Page)"/>
        <w:docPartUnique/>
      </w:docPartObj>
    </w:sdtPr>
    <w:sdtEndPr>
      <w:rPr>
        <w:rStyle w:val="PageNumber"/>
      </w:rPr>
    </w:sdtEndPr>
    <w:sdtContent>
      <w:p w14:paraId="7DBFE56F" w14:textId="1EFA24CA" w:rsidR="00BA1456" w:rsidRDefault="00BA1456" w:rsidP="001010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25187756"/>
      <w:docPartObj>
        <w:docPartGallery w:val="Page Numbers (Bottom of Page)"/>
        <w:docPartUnique/>
      </w:docPartObj>
    </w:sdtPr>
    <w:sdtEndPr>
      <w:rPr>
        <w:rStyle w:val="PageNumber"/>
      </w:rPr>
    </w:sdtEndPr>
    <w:sdtContent>
      <w:p w14:paraId="6D007143" w14:textId="15B681C3" w:rsidR="007272CB" w:rsidRDefault="007272CB" w:rsidP="00BA145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28E3C" w14:textId="77777777" w:rsidR="00C72D9A" w:rsidRDefault="00C72D9A" w:rsidP="007272CB">
    <w:pPr>
      <w:pStyle w:val="Footer"/>
      <w:ind w:right="360"/>
    </w:pPr>
  </w:p>
  <w:p w14:paraId="6E727261" w14:textId="77777777" w:rsidR="004832CB" w:rsidRDefault="004832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2696170"/>
      <w:docPartObj>
        <w:docPartGallery w:val="Page Numbers (Bottom of Page)"/>
        <w:docPartUnique/>
      </w:docPartObj>
    </w:sdtPr>
    <w:sdtEndPr>
      <w:rPr>
        <w:rStyle w:val="PageNumber"/>
      </w:rPr>
    </w:sdtEndPr>
    <w:sdtContent>
      <w:p w14:paraId="6D4B37FE" w14:textId="393CB83C" w:rsidR="00BA1456" w:rsidRDefault="00EF6BBB" w:rsidP="0010107D">
        <w:pPr>
          <w:pStyle w:val="Footer"/>
          <w:framePr w:wrap="none"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6</w:t>
        </w:r>
        <w:r>
          <w:rPr>
            <w:rStyle w:val="PageNumber"/>
          </w:rPr>
          <w:fldChar w:fldCharType="end"/>
        </w:r>
      </w:p>
    </w:sdtContent>
  </w:sdt>
  <w:p w14:paraId="28AB72FF" w14:textId="4F2D0541" w:rsidR="00CC1516" w:rsidRPr="007272CB" w:rsidRDefault="00C72D9A" w:rsidP="007272CB">
    <w:pPr>
      <w:pStyle w:val="Footer"/>
      <w:tabs>
        <w:tab w:val="clear" w:pos="4680"/>
        <w:tab w:val="left" w:pos="7655"/>
      </w:tabs>
      <w:ind w:right="360"/>
      <w:rPr>
        <w:sz w:val="21"/>
        <w:szCs w:val="21"/>
        <w:lang w:val="en-GB"/>
      </w:rPr>
    </w:pPr>
    <w:r w:rsidRPr="007272CB">
      <w:rPr>
        <w:sz w:val="21"/>
        <w:szCs w:val="21"/>
        <w:lang w:val="en-GB"/>
      </w:rPr>
      <w:t xml:space="preserve">ORIENTATE </w:t>
    </w:r>
    <w:r w:rsidR="0030559B">
      <w:rPr>
        <w:sz w:val="21"/>
        <w:szCs w:val="21"/>
        <w:lang w:val="en-GB"/>
      </w:rPr>
      <w:t>Technical</w:t>
    </w:r>
    <w:r w:rsidRPr="007272CB">
      <w:rPr>
        <w:sz w:val="21"/>
        <w:szCs w:val="21"/>
        <w:lang w:val="en-GB"/>
      </w:rPr>
      <w:t xml:space="preserve"> Experts ToR</w:t>
    </w:r>
    <w:r w:rsidRPr="007272CB">
      <w:rPr>
        <w:sz w:val="21"/>
        <w:szCs w:val="21"/>
        <w:lang w:val="en-GB"/>
      </w:rPr>
      <w:tab/>
    </w:r>
  </w:p>
  <w:p w14:paraId="236EC0AB" w14:textId="77777777" w:rsidR="004832CB" w:rsidRDefault="004832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C647" w14:textId="77777777" w:rsidR="0030559B" w:rsidRDefault="0030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FB60" w14:textId="77777777" w:rsidR="00B85904" w:rsidRDefault="00B85904" w:rsidP="00A3172F">
      <w:pPr>
        <w:spacing w:after="0" w:line="240" w:lineRule="auto"/>
      </w:pPr>
      <w:r>
        <w:separator/>
      </w:r>
    </w:p>
    <w:p w14:paraId="54A85CF4" w14:textId="77777777" w:rsidR="00B85904" w:rsidRDefault="00B85904"/>
  </w:footnote>
  <w:footnote w:type="continuationSeparator" w:id="0">
    <w:p w14:paraId="39F0BE19" w14:textId="77777777" w:rsidR="00B85904" w:rsidRDefault="00B85904" w:rsidP="00A3172F">
      <w:pPr>
        <w:spacing w:after="0" w:line="240" w:lineRule="auto"/>
      </w:pPr>
      <w:r>
        <w:continuationSeparator/>
      </w:r>
    </w:p>
    <w:p w14:paraId="63B9963A" w14:textId="77777777" w:rsidR="00B85904" w:rsidRDefault="00B85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D351" w14:textId="77777777" w:rsidR="0030559B" w:rsidRDefault="00305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E403" w14:textId="6C4CEF7D" w:rsidR="00BA5732" w:rsidRDefault="00BC1D0B" w:rsidP="00B252DF">
    <w:pPr>
      <w:pStyle w:val="Header"/>
      <w:tabs>
        <w:tab w:val="clear" w:pos="4680"/>
        <w:tab w:val="clear" w:pos="9360"/>
        <w:tab w:val="left" w:pos="8015"/>
      </w:tabs>
      <w:bidi/>
      <w:rPr>
        <w:lang w:bidi="ar-LB"/>
      </w:rPr>
    </w:pPr>
    <w:r>
      <w:rPr>
        <w:noProof/>
        <w:rtl/>
        <w:lang w:val="ar-LB" w:bidi="ar-LB"/>
      </w:rPr>
      <w:drawing>
        <wp:anchor distT="0" distB="0" distL="114300" distR="114300" simplePos="0" relativeHeight="251659776" behindDoc="0" locked="0" layoutInCell="1" allowOverlap="1" wp14:anchorId="5E8C8924" wp14:editId="29F888EA">
          <wp:simplePos x="0" y="0"/>
          <wp:positionH relativeFrom="column">
            <wp:posOffset>-131445</wp:posOffset>
          </wp:positionH>
          <wp:positionV relativeFrom="paragraph">
            <wp:posOffset>-237153</wp:posOffset>
          </wp:positionV>
          <wp:extent cx="6353666" cy="9449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353666" cy="944904"/>
                  </a:xfrm>
                  <a:prstGeom prst="rect">
                    <a:avLst/>
                  </a:prstGeom>
                </pic:spPr>
              </pic:pic>
            </a:graphicData>
          </a:graphic>
          <wp14:sizeRelH relativeFrom="page">
            <wp14:pctWidth>0</wp14:pctWidth>
          </wp14:sizeRelH>
          <wp14:sizeRelV relativeFrom="page">
            <wp14:pctHeight>0</wp14:pctHeight>
          </wp14:sizeRelV>
        </wp:anchor>
      </w:drawing>
    </w:r>
    <w:r w:rsidR="006B02C0">
      <w:rPr>
        <w:rtl/>
        <w:lang w:bidi="ar-LB"/>
      </w:rPr>
      <w:tab/>
    </w:r>
  </w:p>
  <w:p w14:paraId="29090462" w14:textId="79F67DCE" w:rsidR="009A72A9" w:rsidRDefault="009A72A9" w:rsidP="00BA5732">
    <w:pPr>
      <w:pStyle w:val="Header"/>
      <w:tabs>
        <w:tab w:val="clear" w:pos="4680"/>
        <w:tab w:val="clear" w:pos="9360"/>
        <w:tab w:val="left" w:pos="8015"/>
      </w:tabs>
      <w:bidi/>
      <w:rPr>
        <w:lang w:bidi="ar-LB"/>
      </w:rPr>
    </w:pPr>
  </w:p>
  <w:p w14:paraId="59F9ED68" w14:textId="559CCBBF" w:rsidR="00AE25C0" w:rsidRPr="007B1148" w:rsidRDefault="00AE25C0" w:rsidP="009A72A9">
    <w:pPr>
      <w:pStyle w:val="Header"/>
      <w:tabs>
        <w:tab w:val="clear" w:pos="4680"/>
        <w:tab w:val="clear" w:pos="9360"/>
        <w:tab w:val="left" w:pos="8015"/>
      </w:tabs>
      <w:bidi/>
      <w:rPr>
        <w:lang w:bidi="ar-LB"/>
      </w:rPr>
    </w:pPr>
  </w:p>
  <w:p w14:paraId="15A3EAF5" w14:textId="77777777" w:rsidR="004832CB" w:rsidRDefault="004832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9A67" w14:textId="77777777" w:rsidR="0030559B" w:rsidRDefault="0030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2FE"/>
    <w:multiLevelType w:val="multilevel"/>
    <w:tmpl w:val="255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C3461"/>
    <w:multiLevelType w:val="hybridMultilevel"/>
    <w:tmpl w:val="C96484C0"/>
    <w:lvl w:ilvl="0" w:tplc="F4620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19E4"/>
    <w:multiLevelType w:val="multilevel"/>
    <w:tmpl w:val="0FC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92501"/>
    <w:multiLevelType w:val="multilevel"/>
    <w:tmpl w:val="B65E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A3955"/>
    <w:multiLevelType w:val="multilevel"/>
    <w:tmpl w:val="5236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B52A4"/>
    <w:multiLevelType w:val="multilevel"/>
    <w:tmpl w:val="347E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07BAA"/>
    <w:multiLevelType w:val="hybridMultilevel"/>
    <w:tmpl w:val="59EE724E"/>
    <w:lvl w:ilvl="0" w:tplc="F62A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76325"/>
    <w:multiLevelType w:val="multilevel"/>
    <w:tmpl w:val="989C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45AB6"/>
    <w:multiLevelType w:val="multilevel"/>
    <w:tmpl w:val="6AB6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51292"/>
    <w:multiLevelType w:val="multilevel"/>
    <w:tmpl w:val="18B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91777"/>
    <w:multiLevelType w:val="hybridMultilevel"/>
    <w:tmpl w:val="EFFAD8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616AF"/>
    <w:multiLevelType w:val="multilevel"/>
    <w:tmpl w:val="C61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35A74"/>
    <w:multiLevelType w:val="multilevel"/>
    <w:tmpl w:val="B80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75696"/>
    <w:multiLevelType w:val="hybridMultilevel"/>
    <w:tmpl w:val="21A081AA"/>
    <w:lvl w:ilvl="0" w:tplc="966A0A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22046"/>
    <w:multiLevelType w:val="multilevel"/>
    <w:tmpl w:val="9AB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147E8"/>
    <w:multiLevelType w:val="multilevel"/>
    <w:tmpl w:val="96BC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47C92"/>
    <w:multiLevelType w:val="multilevel"/>
    <w:tmpl w:val="6126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04D45"/>
    <w:multiLevelType w:val="multilevel"/>
    <w:tmpl w:val="335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F76FB"/>
    <w:multiLevelType w:val="hybridMultilevel"/>
    <w:tmpl w:val="32040C0C"/>
    <w:lvl w:ilvl="0" w:tplc="A492F582">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0879"/>
    <w:multiLevelType w:val="multilevel"/>
    <w:tmpl w:val="75D6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E230B"/>
    <w:multiLevelType w:val="multilevel"/>
    <w:tmpl w:val="1194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93A47"/>
    <w:multiLevelType w:val="multilevel"/>
    <w:tmpl w:val="FF5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D1D93"/>
    <w:multiLevelType w:val="multilevel"/>
    <w:tmpl w:val="AF82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31F3B"/>
    <w:multiLevelType w:val="hybridMultilevel"/>
    <w:tmpl w:val="204A30CE"/>
    <w:lvl w:ilvl="0" w:tplc="EE98D3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85EA8"/>
    <w:multiLevelType w:val="multilevel"/>
    <w:tmpl w:val="2FF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17D79"/>
    <w:multiLevelType w:val="multilevel"/>
    <w:tmpl w:val="B466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836C4"/>
    <w:multiLevelType w:val="multilevel"/>
    <w:tmpl w:val="71D2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E1221"/>
    <w:multiLevelType w:val="multilevel"/>
    <w:tmpl w:val="5E28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34814"/>
    <w:multiLevelType w:val="multilevel"/>
    <w:tmpl w:val="F39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12413"/>
    <w:multiLevelType w:val="hybridMultilevel"/>
    <w:tmpl w:val="72F47F5C"/>
    <w:lvl w:ilvl="0" w:tplc="0D829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D2E6E"/>
    <w:multiLevelType w:val="multilevel"/>
    <w:tmpl w:val="C81A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B1054"/>
    <w:multiLevelType w:val="multilevel"/>
    <w:tmpl w:val="45B8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3668C"/>
    <w:multiLevelType w:val="multilevel"/>
    <w:tmpl w:val="B38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B3E0E"/>
    <w:multiLevelType w:val="multilevel"/>
    <w:tmpl w:val="B25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2459F"/>
    <w:multiLevelType w:val="multilevel"/>
    <w:tmpl w:val="5172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F7BDA"/>
    <w:multiLevelType w:val="hybridMultilevel"/>
    <w:tmpl w:val="476667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6DC90EA3"/>
    <w:multiLevelType w:val="multilevel"/>
    <w:tmpl w:val="4612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80E7A"/>
    <w:multiLevelType w:val="multilevel"/>
    <w:tmpl w:val="FDEE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C7678"/>
    <w:multiLevelType w:val="multilevel"/>
    <w:tmpl w:val="736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E6728"/>
    <w:multiLevelType w:val="multilevel"/>
    <w:tmpl w:val="7516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A044F"/>
    <w:multiLevelType w:val="multilevel"/>
    <w:tmpl w:val="050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32A55"/>
    <w:multiLevelType w:val="multilevel"/>
    <w:tmpl w:val="8B22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9E17E1"/>
    <w:multiLevelType w:val="multilevel"/>
    <w:tmpl w:val="A9A6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A4F0B"/>
    <w:multiLevelType w:val="multilevel"/>
    <w:tmpl w:val="596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B49E2"/>
    <w:multiLevelType w:val="multilevel"/>
    <w:tmpl w:val="69B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C2D34"/>
    <w:multiLevelType w:val="multilevel"/>
    <w:tmpl w:val="C944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8"/>
  </w:num>
  <w:num w:numId="4">
    <w:abstractNumId w:val="29"/>
  </w:num>
  <w:num w:numId="5">
    <w:abstractNumId w:val="6"/>
  </w:num>
  <w:num w:numId="6">
    <w:abstractNumId w:val="23"/>
  </w:num>
  <w:num w:numId="7">
    <w:abstractNumId w:val="1"/>
  </w:num>
  <w:num w:numId="8">
    <w:abstractNumId w:val="35"/>
  </w:num>
  <w:num w:numId="9">
    <w:abstractNumId w:val="40"/>
  </w:num>
  <w:num w:numId="10">
    <w:abstractNumId w:val="43"/>
  </w:num>
  <w:num w:numId="11">
    <w:abstractNumId w:val="24"/>
  </w:num>
  <w:num w:numId="12">
    <w:abstractNumId w:val="26"/>
  </w:num>
  <w:num w:numId="13">
    <w:abstractNumId w:val="3"/>
  </w:num>
  <w:num w:numId="14">
    <w:abstractNumId w:val="27"/>
  </w:num>
  <w:num w:numId="15">
    <w:abstractNumId w:val="7"/>
  </w:num>
  <w:num w:numId="16">
    <w:abstractNumId w:val="21"/>
  </w:num>
  <w:num w:numId="17">
    <w:abstractNumId w:val="39"/>
  </w:num>
  <w:num w:numId="18">
    <w:abstractNumId w:val="36"/>
  </w:num>
  <w:num w:numId="19">
    <w:abstractNumId w:val="30"/>
  </w:num>
  <w:num w:numId="20">
    <w:abstractNumId w:val="42"/>
  </w:num>
  <w:num w:numId="21">
    <w:abstractNumId w:val="41"/>
  </w:num>
  <w:num w:numId="22">
    <w:abstractNumId w:val="20"/>
  </w:num>
  <w:num w:numId="23">
    <w:abstractNumId w:val="15"/>
  </w:num>
  <w:num w:numId="24">
    <w:abstractNumId w:val="17"/>
  </w:num>
  <w:num w:numId="25">
    <w:abstractNumId w:val="22"/>
  </w:num>
  <w:num w:numId="26">
    <w:abstractNumId w:val="12"/>
  </w:num>
  <w:num w:numId="27">
    <w:abstractNumId w:val="8"/>
  </w:num>
  <w:num w:numId="28">
    <w:abstractNumId w:val="38"/>
  </w:num>
  <w:num w:numId="29">
    <w:abstractNumId w:val="14"/>
  </w:num>
  <w:num w:numId="30">
    <w:abstractNumId w:val="37"/>
  </w:num>
  <w:num w:numId="31">
    <w:abstractNumId w:val="16"/>
  </w:num>
  <w:num w:numId="32">
    <w:abstractNumId w:val="33"/>
  </w:num>
  <w:num w:numId="33">
    <w:abstractNumId w:val="0"/>
  </w:num>
  <w:num w:numId="34">
    <w:abstractNumId w:val="9"/>
  </w:num>
  <w:num w:numId="35">
    <w:abstractNumId w:val="44"/>
  </w:num>
  <w:num w:numId="36">
    <w:abstractNumId w:val="31"/>
  </w:num>
  <w:num w:numId="37">
    <w:abstractNumId w:val="4"/>
  </w:num>
  <w:num w:numId="38">
    <w:abstractNumId w:val="11"/>
  </w:num>
  <w:num w:numId="39">
    <w:abstractNumId w:val="25"/>
  </w:num>
  <w:num w:numId="40">
    <w:abstractNumId w:val="5"/>
  </w:num>
  <w:num w:numId="41">
    <w:abstractNumId w:val="34"/>
  </w:num>
  <w:num w:numId="42">
    <w:abstractNumId w:val="19"/>
  </w:num>
  <w:num w:numId="43">
    <w:abstractNumId w:val="32"/>
  </w:num>
  <w:num w:numId="44">
    <w:abstractNumId w:val="28"/>
  </w:num>
  <w:num w:numId="45">
    <w:abstractNumId w:val="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3A"/>
    <w:rsid w:val="00002D14"/>
    <w:rsid w:val="00003012"/>
    <w:rsid w:val="00011BDB"/>
    <w:rsid w:val="00014DAA"/>
    <w:rsid w:val="0001744D"/>
    <w:rsid w:val="000224CB"/>
    <w:rsid w:val="0003191F"/>
    <w:rsid w:val="00041FF2"/>
    <w:rsid w:val="00042638"/>
    <w:rsid w:val="00050B07"/>
    <w:rsid w:val="00050D9A"/>
    <w:rsid w:val="00051E61"/>
    <w:rsid w:val="0006543D"/>
    <w:rsid w:val="0006546A"/>
    <w:rsid w:val="00066AB8"/>
    <w:rsid w:val="00070BF6"/>
    <w:rsid w:val="000713C3"/>
    <w:rsid w:val="00076023"/>
    <w:rsid w:val="000768C8"/>
    <w:rsid w:val="00077564"/>
    <w:rsid w:val="0008587E"/>
    <w:rsid w:val="000869AE"/>
    <w:rsid w:val="00086E13"/>
    <w:rsid w:val="00091511"/>
    <w:rsid w:val="000937B2"/>
    <w:rsid w:val="000957ED"/>
    <w:rsid w:val="000A061F"/>
    <w:rsid w:val="000B27A3"/>
    <w:rsid w:val="000C0094"/>
    <w:rsid w:val="000C2F1A"/>
    <w:rsid w:val="000D13F8"/>
    <w:rsid w:val="000D2C3F"/>
    <w:rsid w:val="000D3255"/>
    <w:rsid w:val="000D56C6"/>
    <w:rsid w:val="000E3C96"/>
    <w:rsid w:val="00100CC4"/>
    <w:rsid w:val="00105449"/>
    <w:rsid w:val="001154F0"/>
    <w:rsid w:val="00115A3D"/>
    <w:rsid w:val="00117C5A"/>
    <w:rsid w:val="001279A0"/>
    <w:rsid w:val="00127C91"/>
    <w:rsid w:val="00163652"/>
    <w:rsid w:val="0016665E"/>
    <w:rsid w:val="00173A67"/>
    <w:rsid w:val="00173B77"/>
    <w:rsid w:val="00176AAE"/>
    <w:rsid w:val="00177F10"/>
    <w:rsid w:val="0019017C"/>
    <w:rsid w:val="001918E0"/>
    <w:rsid w:val="00193FED"/>
    <w:rsid w:val="001A2323"/>
    <w:rsid w:val="001A3197"/>
    <w:rsid w:val="001A40D1"/>
    <w:rsid w:val="001A50EA"/>
    <w:rsid w:val="001B1166"/>
    <w:rsid w:val="001B7E85"/>
    <w:rsid w:val="001C1542"/>
    <w:rsid w:val="001C2015"/>
    <w:rsid w:val="001D3439"/>
    <w:rsid w:val="001D3EFB"/>
    <w:rsid w:val="001D5100"/>
    <w:rsid w:val="001D6B6C"/>
    <w:rsid w:val="001E57C9"/>
    <w:rsid w:val="001F11B5"/>
    <w:rsid w:val="001F1DEA"/>
    <w:rsid w:val="001F28FD"/>
    <w:rsid w:val="001F523F"/>
    <w:rsid w:val="00200568"/>
    <w:rsid w:val="00203690"/>
    <w:rsid w:val="00204E29"/>
    <w:rsid w:val="002066EB"/>
    <w:rsid w:val="00207C07"/>
    <w:rsid w:val="00207CF6"/>
    <w:rsid w:val="00221046"/>
    <w:rsid w:val="002226B6"/>
    <w:rsid w:val="00231EBC"/>
    <w:rsid w:val="002349EC"/>
    <w:rsid w:val="00234DBD"/>
    <w:rsid w:val="002354E3"/>
    <w:rsid w:val="0023631D"/>
    <w:rsid w:val="00242100"/>
    <w:rsid w:val="002427BE"/>
    <w:rsid w:val="0024583B"/>
    <w:rsid w:val="00252D6F"/>
    <w:rsid w:val="00256271"/>
    <w:rsid w:val="00257241"/>
    <w:rsid w:val="002577E4"/>
    <w:rsid w:val="00266151"/>
    <w:rsid w:val="00266533"/>
    <w:rsid w:val="002706EF"/>
    <w:rsid w:val="00280082"/>
    <w:rsid w:val="00291343"/>
    <w:rsid w:val="0029142C"/>
    <w:rsid w:val="002A6732"/>
    <w:rsid w:val="002B054B"/>
    <w:rsid w:val="002B2F81"/>
    <w:rsid w:val="002C0480"/>
    <w:rsid w:val="002C332A"/>
    <w:rsid w:val="002C4E44"/>
    <w:rsid w:val="002C6324"/>
    <w:rsid w:val="002C67CA"/>
    <w:rsid w:val="002E58F4"/>
    <w:rsid w:val="002E6278"/>
    <w:rsid w:val="002E640B"/>
    <w:rsid w:val="002F0060"/>
    <w:rsid w:val="002F793F"/>
    <w:rsid w:val="00300A74"/>
    <w:rsid w:val="00301A5A"/>
    <w:rsid w:val="00301BB5"/>
    <w:rsid w:val="00304538"/>
    <w:rsid w:val="0030559B"/>
    <w:rsid w:val="003154B2"/>
    <w:rsid w:val="003162B5"/>
    <w:rsid w:val="00332325"/>
    <w:rsid w:val="00333257"/>
    <w:rsid w:val="003377F0"/>
    <w:rsid w:val="0034012C"/>
    <w:rsid w:val="00345EF2"/>
    <w:rsid w:val="00350F46"/>
    <w:rsid w:val="003545A6"/>
    <w:rsid w:val="003639E7"/>
    <w:rsid w:val="00370D65"/>
    <w:rsid w:val="003719EA"/>
    <w:rsid w:val="00372B4D"/>
    <w:rsid w:val="00375730"/>
    <w:rsid w:val="00375EFB"/>
    <w:rsid w:val="003863C5"/>
    <w:rsid w:val="00391EC3"/>
    <w:rsid w:val="003920BE"/>
    <w:rsid w:val="00393636"/>
    <w:rsid w:val="003A33F0"/>
    <w:rsid w:val="003B10AC"/>
    <w:rsid w:val="003B19E6"/>
    <w:rsid w:val="003B5CB9"/>
    <w:rsid w:val="003B6596"/>
    <w:rsid w:val="003C3E6A"/>
    <w:rsid w:val="003C7B6B"/>
    <w:rsid w:val="003D276E"/>
    <w:rsid w:val="003E2557"/>
    <w:rsid w:val="003E4DFE"/>
    <w:rsid w:val="003F0506"/>
    <w:rsid w:val="003F3ED4"/>
    <w:rsid w:val="003F61E5"/>
    <w:rsid w:val="00400F6B"/>
    <w:rsid w:val="00401BBC"/>
    <w:rsid w:val="00403C41"/>
    <w:rsid w:val="00404FA5"/>
    <w:rsid w:val="0041116F"/>
    <w:rsid w:val="00412AC9"/>
    <w:rsid w:val="00413DBF"/>
    <w:rsid w:val="0042086C"/>
    <w:rsid w:val="004464F5"/>
    <w:rsid w:val="0044793F"/>
    <w:rsid w:val="00454238"/>
    <w:rsid w:val="00456EB2"/>
    <w:rsid w:val="00464D82"/>
    <w:rsid w:val="00465349"/>
    <w:rsid w:val="00465B7F"/>
    <w:rsid w:val="00466C23"/>
    <w:rsid w:val="004701E6"/>
    <w:rsid w:val="00472165"/>
    <w:rsid w:val="00473CEF"/>
    <w:rsid w:val="004832CB"/>
    <w:rsid w:val="00495B06"/>
    <w:rsid w:val="004965EE"/>
    <w:rsid w:val="00496B8A"/>
    <w:rsid w:val="00497650"/>
    <w:rsid w:val="004A2411"/>
    <w:rsid w:val="004A335F"/>
    <w:rsid w:val="004A44BA"/>
    <w:rsid w:val="004A484E"/>
    <w:rsid w:val="004A68F6"/>
    <w:rsid w:val="004B05D6"/>
    <w:rsid w:val="004B264D"/>
    <w:rsid w:val="004B4159"/>
    <w:rsid w:val="004C2893"/>
    <w:rsid w:val="004C3DE4"/>
    <w:rsid w:val="004C51C2"/>
    <w:rsid w:val="004C5CA9"/>
    <w:rsid w:val="004D2ED0"/>
    <w:rsid w:val="004D4EC7"/>
    <w:rsid w:val="004D56CD"/>
    <w:rsid w:val="004E0A2E"/>
    <w:rsid w:val="004E46E3"/>
    <w:rsid w:val="004E7DEE"/>
    <w:rsid w:val="004F2C07"/>
    <w:rsid w:val="004F5ED1"/>
    <w:rsid w:val="00502F2D"/>
    <w:rsid w:val="00505B87"/>
    <w:rsid w:val="005153DA"/>
    <w:rsid w:val="005156D3"/>
    <w:rsid w:val="00517644"/>
    <w:rsid w:val="00523C53"/>
    <w:rsid w:val="00525A46"/>
    <w:rsid w:val="00526A48"/>
    <w:rsid w:val="00526DE1"/>
    <w:rsid w:val="00527DBC"/>
    <w:rsid w:val="005311BE"/>
    <w:rsid w:val="005313FD"/>
    <w:rsid w:val="005329B4"/>
    <w:rsid w:val="005340DA"/>
    <w:rsid w:val="00534BDC"/>
    <w:rsid w:val="00534E0D"/>
    <w:rsid w:val="00534F87"/>
    <w:rsid w:val="005361B6"/>
    <w:rsid w:val="00542898"/>
    <w:rsid w:val="0055044E"/>
    <w:rsid w:val="00561421"/>
    <w:rsid w:val="0056312A"/>
    <w:rsid w:val="00564219"/>
    <w:rsid w:val="00565B2B"/>
    <w:rsid w:val="00577107"/>
    <w:rsid w:val="00577E90"/>
    <w:rsid w:val="00577FA1"/>
    <w:rsid w:val="0059017F"/>
    <w:rsid w:val="005A1277"/>
    <w:rsid w:val="005A3977"/>
    <w:rsid w:val="005A4560"/>
    <w:rsid w:val="005A6442"/>
    <w:rsid w:val="005B231B"/>
    <w:rsid w:val="005B67B6"/>
    <w:rsid w:val="005C64DC"/>
    <w:rsid w:val="005D3366"/>
    <w:rsid w:val="005D51AB"/>
    <w:rsid w:val="005D6A08"/>
    <w:rsid w:val="005E25EA"/>
    <w:rsid w:val="005E5B4D"/>
    <w:rsid w:val="005F5502"/>
    <w:rsid w:val="00601D11"/>
    <w:rsid w:val="00602097"/>
    <w:rsid w:val="00602884"/>
    <w:rsid w:val="00603A0C"/>
    <w:rsid w:val="006075BC"/>
    <w:rsid w:val="00613E5E"/>
    <w:rsid w:val="00616F94"/>
    <w:rsid w:val="006234B5"/>
    <w:rsid w:val="00625315"/>
    <w:rsid w:val="00631D51"/>
    <w:rsid w:val="00637876"/>
    <w:rsid w:val="00640241"/>
    <w:rsid w:val="0064077E"/>
    <w:rsid w:val="00652B30"/>
    <w:rsid w:val="0065605E"/>
    <w:rsid w:val="006623FA"/>
    <w:rsid w:val="00663987"/>
    <w:rsid w:val="00666CDE"/>
    <w:rsid w:val="00677AD2"/>
    <w:rsid w:val="0068193D"/>
    <w:rsid w:val="00685C6F"/>
    <w:rsid w:val="006869DE"/>
    <w:rsid w:val="006A3497"/>
    <w:rsid w:val="006A483A"/>
    <w:rsid w:val="006A7BA1"/>
    <w:rsid w:val="006A7D32"/>
    <w:rsid w:val="006B02C0"/>
    <w:rsid w:val="006B23C1"/>
    <w:rsid w:val="006B38A1"/>
    <w:rsid w:val="006B6B5B"/>
    <w:rsid w:val="006C7328"/>
    <w:rsid w:val="006D21EB"/>
    <w:rsid w:val="006D74C0"/>
    <w:rsid w:val="006E04F2"/>
    <w:rsid w:val="006E5164"/>
    <w:rsid w:val="006F0239"/>
    <w:rsid w:val="0070067C"/>
    <w:rsid w:val="0070085F"/>
    <w:rsid w:val="00701554"/>
    <w:rsid w:val="00701777"/>
    <w:rsid w:val="00713E64"/>
    <w:rsid w:val="007148D8"/>
    <w:rsid w:val="00715779"/>
    <w:rsid w:val="0071651E"/>
    <w:rsid w:val="0072185A"/>
    <w:rsid w:val="00722D93"/>
    <w:rsid w:val="007260CC"/>
    <w:rsid w:val="007272CB"/>
    <w:rsid w:val="00731661"/>
    <w:rsid w:val="00745173"/>
    <w:rsid w:val="007457A1"/>
    <w:rsid w:val="007477F5"/>
    <w:rsid w:val="00752122"/>
    <w:rsid w:val="0076358B"/>
    <w:rsid w:val="00772C0F"/>
    <w:rsid w:val="00773FF3"/>
    <w:rsid w:val="007740C4"/>
    <w:rsid w:val="00784589"/>
    <w:rsid w:val="00784F49"/>
    <w:rsid w:val="0078583F"/>
    <w:rsid w:val="00794C13"/>
    <w:rsid w:val="00796851"/>
    <w:rsid w:val="007A0A28"/>
    <w:rsid w:val="007A1178"/>
    <w:rsid w:val="007A39F7"/>
    <w:rsid w:val="007A565D"/>
    <w:rsid w:val="007A61C4"/>
    <w:rsid w:val="007A6E16"/>
    <w:rsid w:val="007B169D"/>
    <w:rsid w:val="007B1EEA"/>
    <w:rsid w:val="007B72A1"/>
    <w:rsid w:val="007C078B"/>
    <w:rsid w:val="007C12AE"/>
    <w:rsid w:val="007C2A99"/>
    <w:rsid w:val="007C3373"/>
    <w:rsid w:val="007C3F34"/>
    <w:rsid w:val="007D6D3D"/>
    <w:rsid w:val="007D766A"/>
    <w:rsid w:val="007E0BD1"/>
    <w:rsid w:val="007E259D"/>
    <w:rsid w:val="007E3A9A"/>
    <w:rsid w:val="007E73CB"/>
    <w:rsid w:val="007F5F5F"/>
    <w:rsid w:val="0081395D"/>
    <w:rsid w:val="00814D44"/>
    <w:rsid w:val="00814E69"/>
    <w:rsid w:val="0081761A"/>
    <w:rsid w:val="00821368"/>
    <w:rsid w:val="00822636"/>
    <w:rsid w:val="0082311D"/>
    <w:rsid w:val="008238F3"/>
    <w:rsid w:val="00843D69"/>
    <w:rsid w:val="0084535B"/>
    <w:rsid w:val="0085102A"/>
    <w:rsid w:val="00852F64"/>
    <w:rsid w:val="00853EBC"/>
    <w:rsid w:val="00855FC2"/>
    <w:rsid w:val="0086215A"/>
    <w:rsid w:val="0087569C"/>
    <w:rsid w:val="00884A3E"/>
    <w:rsid w:val="00886D41"/>
    <w:rsid w:val="00891115"/>
    <w:rsid w:val="00891A44"/>
    <w:rsid w:val="008920EC"/>
    <w:rsid w:val="0089499E"/>
    <w:rsid w:val="008B15AA"/>
    <w:rsid w:val="008B1C8A"/>
    <w:rsid w:val="008B3C87"/>
    <w:rsid w:val="008B591D"/>
    <w:rsid w:val="008C22F4"/>
    <w:rsid w:val="008D01C6"/>
    <w:rsid w:val="008D0F90"/>
    <w:rsid w:val="008D1785"/>
    <w:rsid w:val="008D23FD"/>
    <w:rsid w:val="008D56AA"/>
    <w:rsid w:val="008E047A"/>
    <w:rsid w:val="008E38DD"/>
    <w:rsid w:val="008E5F40"/>
    <w:rsid w:val="008E702C"/>
    <w:rsid w:val="008F3B11"/>
    <w:rsid w:val="00910986"/>
    <w:rsid w:val="009343C0"/>
    <w:rsid w:val="009360A4"/>
    <w:rsid w:val="009373E3"/>
    <w:rsid w:val="009414B5"/>
    <w:rsid w:val="00944D7E"/>
    <w:rsid w:val="009542AB"/>
    <w:rsid w:val="00957745"/>
    <w:rsid w:val="009646FE"/>
    <w:rsid w:val="00966740"/>
    <w:rsid w:val="00967C6F"/>
    <w:rsid w:val="00970025"/>
    <w:rsid w:val="00972B52"/>
    <w:rsid w:val="00982D3C"/>
    <w:rsid w:val="0098747E"/>
    <w:rsid w:val="00990CBD"/>
    <w:rsid w:val="00991803"/>
    <w:rsid w:val="00993706"/>
    <w:rsid w:val="00993B0B"/>
    <w:rsid w:val="009A0283"/>
    <w:rsid w:val="009A354B"/>
    <w:rsid w:val="009A4D01"/>
    <w:rsid w:val="009A72A9"/>
    <w:rsid w:val="009B1D12"/>
    <w:rsid w:val="009B3953"/>
    <w:rsid w:val="009B3CDF"/>
    <w:rsid w:val="009B45DE"/>
    <w:rsid w:val="009B4889"/>
    <w:rsid w:val="009C4700"/>
    <w:rsid w:val="009D42E2"/>
    <w:rsid w:val="009D5580"/>
    <w:rsid w:val="009D7036"/>
    <w:rsid w:val="009D78B7"/>
    <w:rsid w:val="009F0A71"/>
    <w:rsid w:val="009F177C"/>
    <w:rsid w:val="009F4978"/>
    <w:rsid w:val="009F5522"/>
    <w:rsid w:val="009F56C6"/>
    <w:rsid w:val="009F5934"/>
    <w:rsid w:val="009F72D7"/>
    <w:rsid w:val="00A01585"/>
    <w:rsid w:val="00A04376"/>
    <w:rsid w:val="00A106E6"/>
    <w:rsid w:val="00A125AC"/>
    <w:rsid w:val="00A21A6F"/>
    <w:rsid w:val="00A27DFE"/>
    <w:rsid w:val="00A300EC"/>
    <w:rsid w:val="00A30A9F"/>
    <w:rsid w:val="00A3172F"/>
    <w:rsid w:val="00A3762E"/>
    <w:rsid w:val="00A37E4B"/>
    <w:rsid w:val="00A414E6"/>
    <w:rsid w:val="00A458EE"/>
    <w:rsid w:val="00A567F5"/>
    <w:rsid w:val="00A56E61"/>
    <w:rsid w:val="00A6786A"/>
    <w:rsid w:val="00A67933"/>
    <w:rsid w:val="00A7354C"/>
    <w:rsid w:val="00A80BEA"/>
    <w:rsid w:val="00A80F95"/>
    <w:rsid w:val="00A856EA"/>
    <w:rsid w:val="00A91CDF"/>
    <w:rsid w:val="00A91D18"/>
    <w:rsid w:val="00A948EB"/>
    <w:rsid w:val="00AA1092"/>
    <w:rsid w:val="00AA148A"/>
    <w:rsid w:val="00AB0CBA"/>
    <w:rsid w:val="00AB0DC4"/>
    <w:rsid w:val="00AB2906"/>
    <w:rsid w:val="00AC4F91"/>
    <w:rsid w:val="00AC6C72"/>
    <w:rsid w:val="00AD24EE"/>
    <w:rsid w:val="00AD441A"/>
    <w:rsid w:val="00AE25C0"/>
    <w:rsid w:val="00AF373B"/>
    <w:rsid w:val="00AF3E50"/>
    <w:rsid w:val="00AF4762"/>
    <w:rsid w:val="00AF4ABE"/>
    <w:rsid w:val="00AF5B57"/>
    <w:rsid w:val="00B01AA5"/>
    <w:rsid w:val="00B1213F"/>
    <w:rsid w:val="00B1370D"/>
    <w:rsid w:val="00B21200"/>
    <w:rsid w:val="00B2161F"/>
    <w:rsid w:val="00B23F57"/>
    <w:rsid w:val="00B252DF"/>
    <w:rsid w:val="00B25A93"/>
    <w:rsid w:val="00B25FE7"/>
    <w:rsid w:val="00B3210B"/>
    <w:rsid w:val="00B324AA"/>
    <w:rsid w:val="00B33318"/>
    <w:rsid w:val="00B34C2D"/>
    <w:rsid w:val="00B363D9"/>
    <w:rsid w:val="00B40D9B"/>
    <w:rsid w:val="00B41904"/>
    <w:rsid w:val="00B47FE8"/>
    <w:rsid w:val="00B55B93"/>
    <w:rsid w:val="00B57B9E"/>
    <w:rsid w:val="00B658EE"/>
    <w:rsid w:val="00B67E96"/>
    <w:rsid w:val="00B70AE0"/>
    <w:rsid w:val="00B717B5"/>
    <w:rsid w:val="00B75B44"/>
    <w:rsid w:val="00B77259"/>
    <w:rsid w:val="00B77C91"/>
    <w:rsid w:val="00B8051B"/>
    <w:rsid w:val="00B81A73"/>
    <w:rsid w:val="00B83338"/>
    <w:rsid w:val="00B85183"/>
    <w:rsid w:val="00B85904"/>
    <w:rsid w:val="00B9112A"/>
    <w:rsid w:val="00B92F3D"/>
    <w:rsid w:val="00BA1456"/>
    <w:rsid w:val="00BA2B8D"/>
    <w:rsid w:val="00BA4B7C"/>
    <w:rsid w:val="00BA5732"/>
    <w:rsid w:val="00BA6514"/>
    <w:rsid w:val="00BB0947"/>
    <w:rsid w:val="00BB3865"/>
    <w:rsid w:val="00BB59B3"/>
    <w:rsid w:val="00BC1D0B"/>
    <w:rsid w:val="00BC36FB"/>
    <w:rsid w:val="00BC599E"/>
    <w:rsid w:val="00BD18F4"/>
    <w:rsid w:val="00BE4098"/>
    <w:rsid w:val="00BE4A20"/>
    <w:rsid w:val="00BE5BF6"/>
    <w:rsid w:val="00BE7465"/>
    <w:rsid w:val="00BE7B0D"/>
    <w:rsid w:val="00BF2D4E"/>
    <w:rsid w:val="00BF5B8B"/>
    <w:rsid w:val="00C00F3F"/>
    <w:rsid w:val="00C0778F"/>
    <w:rsid w:val="00C1327B"/>
    <w:rsid w:val="00C205AF"/>
    <w:rsid w:val="00C20D33"/>
    <w:rsid w:val="00C21816"/>
    <w:rsid w:val="00C252C5"/>
    <w:rsid w:val="00C37F83"/>
    <w:rsid w:val="00C405CB"/>
    <w:rsid w:val="00C415A0"/>
    <w:rsid w:val="00C42B58"/>
    <w:rsid w:val="00C43A66"/>
    <w:rsid w:val="00C5219B"/>
    <w:rsid w:val="00C523AC"/>
    <w:rsid w:val="00C52AD8"/>
    <w:rsid w:val="00C72D9A"/>
    <w:rsid w:val="00C773ED"/>
    <w:rsid w:val="00C83E61"/>
    <w:rsid w:val="00C845C7"/>
    <w:rsid w:val="00C851EF"/>
    <w:rsid w:val="00C85A10"/>
    <w:rsid w:val="00C86966"/>
    <w:rsid w:val="00C87FB6"/>
    <w:rsid w:val="00C90EF7"/>
    <w:rsid w:val="00C91F70"/>
    <w:rsid w:val="00CA207F"/>
    <w:rsid w:val="00CA20CE"/>
    <w:rsid w:val="00CA3594"/>
    <w:rsid w:val="00CA79D5"/>
    <w:rsid w:val="00CB0E50"/>
    <w:rsid w:val="00CB142C"/>
    <w:rsid w:val="00CB7157"/>
    <w:rsid w:val="00CC1516"/>
    <w:rsid w:val="00CC3B74"/>
    <w:rsid w:val="00CD0774"/>
    <w:rsid w:val="00CD1667"/>
    <w:rsid w:val="00CD23D2"/>
    <w:rsid w:val="00CD294C"/>
    <w:rsid w:val="00CD2AE9"/>
    <w:rsid w:val="00CD7221"/>
    <w:rsid w:val="00CE0B52"/>
    <w:rsid w:val="00CE310C"/>
    <w:rsid w:val="00CE7BFF"/>
    <w:rsid w:val="00CF308B"/>
    <w:rsid w:val="00CF41AD"/>
    <w:rsid w:val="00D02078"/>
    <w:rsid w:val="00D05CEA"/>
    <w:rsid w:val="00D10E8C"/>
    <w:rsid w:val="00D130ED"/>
    <w:rsid w:val="00D34F38"/>
    <w:rsid w:val="00D368B9"/>
    <w:rsid w:val="00D459FB"/>
    <w:rsid w:val="00D4705F"/>
    <w:rsid w:val="00D472A5"/>
    <w:rsid w:val="00D4771E"/>
    <w:rsid w:val="00D50818"/>
    <w:rsid w:val="00D51648"/>
    <w:rsid w:val="00D6099D"/>
    <w:rsid w:val="00D66601"/>
    <w:rsid w:val="00D70890"/>
    <w:rsid w:val="00D73E4F"/>
    <w:rsid w:val="00D765D0"/>
    <w:rsid w:val="00D77171"/>
    <w:rsid w:val="00D81395"/>
    <w:rsid w:val="00D81EE7"/>
    <w:rsid w:val="00D951F2"/>
    <w:rsid w:val="00DA119B"/>
    <w:rsid w:val="00DB09ED"/>
    <w:rsid w:val="00DC4267"/>
    <w:rsid w:val="00DD0A0E"/>
    <w:rsid w:val="00DD6D84"/>
    <w:rsid w:val="00DE06F6"/>
    <w:rsid w:val="00DE5100"/>
    <w:rsid w:val="00DE65AA"/>
    <w:rsid w:val="00DE733C"/>
    <w:rsid w:val="00DF086C"/>
    <w:rsid w:val="00E00868"/>
    <w:rsid w:val="00E033C9"/>
    <w:rsid w:val="00E07CA6"/>
    <w:rsid w:val="00E142A5"/>
    <w:rsid w:val="00E14F07"/>
    <w:rsid w:val="00E239AB"/>
    <w:rsid w:val="00E256CC"/>
    <w:rsid w:val="00E37D4B"/>
    <w:rsid w:val="00E44D86"/>
    <w:rsid w:val="00E4502C"/>
    <w:rsid w:val="00E571BC"/>
    <w:rsid w:val="00E61619"/>
    <w:rsid w:val="00E66265"/>
    <w:rsid w:val="00E72D95"/>
    <w:rsid w:val="00E744F8"/>
    <w:rsid w:val="00E7468F"/>
    <w:rsid w:val="00E842AC"/>
    <w:rsid w:val="00E979FA"/>
    <w:rsid w:val="00EA0AD5"/>
    <w:rsid w:val="00EA17AB"/>
    <w:rsid w:val="00EA37CA"/>
    <w:rsid w:val="00EA6667"/>
    <w:rsid w:val="00EB17EA"/>
    <w:rsid w:val="00EB22FA"/>
    <w:rsid w:val="00EC16E4"/>
    <w:rsid w:val="00EC6615"/>
    <w:rsid w:val="00EC6785"/>
    <w:rsid w:val="00ED0F40"/>
    <w:rsid w:val="00ED39A4"/>
    <w:rsid w:val="00ED55F5"/>
    <w:rsid w:val="00EE1A27"/>
    <w:rsid w:val="00EE3AD4"/>
    <w:rsid w:val="00EE7D5B"/>
    <w:rsid w:val="00EF30DF"/>
    <w:rsid w:val="00EF5317"/>
    <w:rsid w:val="00EF590D"/>
    <w:rsid w:val="00EF6BBB"/>
    <w:rsid w:val="00EF6C8B"/>
    <w:rsid w:val="00EF7000"/>
    <w:rsid w:val="00EF73FD"/>
    <w:rsid w:val="00F04DA3"/>
    <w:rsid w:val="00F10763"/>
    <w:rsid w:val="00F1654C"/>
    <w:rsid w:val="00F20298"/>
    <w:rsid w:val="00F208A7"/>
    <w:rsid w:val="00F21D21"/>
    <w:rsid w:val="00F21DDF"/>
    <w:rsid w:val="00F225F8"/>
    <w:rsid w:val="00F252B0"/>
    <w:rsid w:val="00F32610"/>
    <w:rsid w:val="00F362AD"/>
    <w:rsid w:val="00F45119"/>
    <w:rsid w:val="00F51B86"/>
    <w:rsid w:val="00F54901"/>
    <w:rsid w:val="00F55414"/>
    <w:rsid w:val="00F60172"/>
    <w:rsid w:val="00F63427"/>
    <w:rsid w:val="00F65A15"/>
    <w:rsid w:val="00F66E3B"/>
    <w:rsid w:val="00F7279D"/>
    <w:rsid w:val="00F72BD4"/>
    <w:rsid w:val="00F73F86"/>
    <w:rsid w:val="00F8132D"/>
    <w:rsid w:val="00F859A0"/>
    <w:rsid w:val="00F91C67"/>
    <w:rsid w:val="00F92F3A"/>
    <w:rsid w:val="00F93A0D"/>
    <w:rsid w:val="00F93D07"/>
    <w:rsid w:val="00FC2977"/>
    <w:rsid w:val="00FC5315"/>
    <w:rsid w:val="00FD1076"/>
    <w:rsid w:val="00FD3B85"/>
    <w:rsid w:val="00FE6594"/>
    <w:rsid w:val="00FF14F7"/>
    <w:rsid w:val="00FF1871"/>
    <w:rsid w:val="00FF28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4F90"/>
  <w15:chartTrackingRefBased/>
  <w15:docId w15:val="{F3D25A08-8A4D-4C93-AA41-74564295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FA"/>
    <w:pPr>
      <w:spacing w:after="200" w:line="276" w:lineRule="auto"/>
    </w:pPr>
    <w:rPr>
      <w:sz w:val="22"/>
      <w:szCs w:val="22"/>
    </w:rPr>
  </w:style>
  <w:style w:type="paragraph" w:styleId="Heading1">
    <w:name w:val="heading 1"/>
    <w:basedOn w:val="Normal"/>
    <w:link w:val="Heading1Char"/>
    <w:uiPriority w:val="9"/>
    <w:qFormat/>
    <w:rsid w:val="00EF6BBB"/>
    <w:pPr>
      <w:spacing w:before="100" w:beforeAutospacing="1" w:after="100" w:afterAutospacing="1" w:line="240" w:lineRule="auto"/>
      <w:outlineLvl w:val="0"/>
    </w:pPr>
    <w:rPr>
      <w:rFonts w:asciiTheme="minorBidi" w:hAnsiTheme="minorBidi" w:cstheme="minorBidi"/>
      <w:b/>
      <w:bCs/>
      <w:sz w:val="32"/>
      <w:szCs w:val="32"/>
      <w:lang w:val="en-LB"/>
    </w:rPr>
  </w:style>
  <w:style w:type="paragraph" w:styleId="Heading2">
    <w:name w:val="heading 2"/>
    <w:basedOn w:val="Normal"/>
    <w:link w:val="Heading2Char"/>
    <w:uiPriority w:val="9"/>
    <w:qFormat/>
    <w:rsid w:val="00B34C2D"/>
    <w:pPr>
      <w:spacing w:before="360" w:after="360" w:line="240" w:lineRule="auto"/>
      <w:outlineLvl w:val="1"/>
    </w:pPr>
    <w:rPr>
      <w:rFonts w:asciiTheme="minorBidi" w:hAnsiTheme="minorBidi" w:cstheme="minorBidi"/>
      <w:b/>
      <w:bCs/>
      <w:sz w:val="32"/>
      <w:szCs w:val="32"/>
      <w:lang w:val="en-LB"/>
    </w:rPr>
  </w:style>
  <w:style w:type="paragraph" w:styleId="Heading3">
    <w:name w:val="heading 3"/>
    <w:basedOn w:val="Normal"/>
    <w:link w:val="Heading3Char"/>
    <w:uiPriority w:val="9"/>
    <w:qFormat/>
    <w:rsid w:val="0006546A"/>
    <w:pPr>
      <w:spacing w:before="100" w:beforeAutospacing="1" w:after="100" w:afterAutospacing="1" w:line="240" w:lineRule="auto"/>
      <w:outlineLvl w:val="2"/>
    </w:pPr>
    <w:rPr>
      <w:rFonts w:asciiTheme="minorBidi" w:hAnsiTheme="minorBidi" w:cstheme="minorBidi"/>
      <w:b/>
      <w:bCs/>
      <w:sz w:val="24"/>
      <w:szCs w:val="24"/>
      <w:lang w:val="en-LB"/>
    </w:rPr>
  </w:style>
  <w:style w:type="paragraph" w:styleId="Heading4">
    <w:name w:val="heading 4"/>
    <w:basedOn w:val="Normal"/>
    <w:next w:val="Normal"/>
    <w:link w:val="Heading4Char"/>
    <w:uiPriority w:val="9"/>
    <w:unhideWhenUsed/>
    <w:qFormat/>
    <w:rsid w:val="0006546A"/>
    <w:pPr>
      <w:spacing w:before="100" w:beforeAutospacing="1" w:after="100" w:afterAutospacing="1" w:line="240" w:lineRule="auto"/>
      <w:outlineLvl w:val="3"/>
    </w:pPr>
    <w:rPr>
      <w:rFonts w:asciiTheme="minorBidi" w:hAnsiTheme="minorBidi" w:cstheme="minorBidi"/>
      <w:b/>
      <w:bCs/>
      <w:sz w:val="24"/>
      <w:szCs w:val="24"/>
      <w:lang w:val="en-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F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2F3D"/>
    <w:rPr>
      <w:rFonts w:ascii="Tahoma" w:hAnsi="Tahoma" w:cs="Tahoma"/>
      <w:sz w:val="16"/>
      <w:szCs w:val="16"/>
    </w:rPr>
  </w:style>
  <w:style w:type="paragraph" w:styleId="Header">
    <w:name w:val="header"/>
    <w:basedOn w:val="Normal"/>
    <w:link w:val="HeaderChar"/>
    <w:uiPriority w:val="99"/>
    <w:unhideWhenUsed/>
    <w:rsid w:val="00A31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72F"/>
  </w:style>
  <w:style w:type="paragraph" w:styleId="Footer">
    <w:name w:val="footer"/>
    <w:basedOn w:val="Normal"/>
    <w:link w:val="FooterChar"/>
    <w:uiPriority w:val="99"/>
    <w:unhideWhenUsed/>
    <w:rsid w:val="00A31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72F"/>
  </w:style>
  <w:style w:type="character" w:styleId="Hyperlink">
    <w:name w:val="Hyperlink"/>
    <w:unhideWhenUsed/>
    <w:rsid w:val="000D3255"/>
    <w:rPr>
      <w:color w:val="0066CC"/>
      <w:u w:val="single"/>
    </w:rPr>
  </w:style>
  <w:style w:type="character" w:customStyle="1" w:styleId="Heading10">
    <w:name w:val="Heading #1_"/>
    <w:link w:val="Heading11"/>
    <w:locked/>
    <w:rsid w:val="000D3255"/>
    <w:rPr>
      <w:rFonts w:ascii="Angsana New" w:eastAsia="Angsana New" w:hAnsi="Angsana New" w:cs="Angsana New"/>
      <w:sz w:val="41"/>
      <w:szCs w:val="41"/>
      <w:shd w:val="clear" w:color="auto" w:fill="FFFFFF"/>
    </w:rPr>
  </w:style>
  <w:style w:type="paragraph" w:customStyle="1" w:styleId="Heading11">
    <w:name w:val="Heading #1"/>
    <w:basedOn w:val="Normal"/>
    <w:link w:val="Heading10"/>
    <w:rsid w:val="000D3255"/>
    <w:pPr>
      <w:shd w:val="clear" w:color="auto" w:fill="FFFFFF"/>
      <w:spacing w:after="480" w:line="0" w:lineRule="atLeast"/>
      <w:outlineLvl w:val="0"/>
    </w:pPr>
    <w:rPr>
      <w:rFonts w:ascii="Angsana New" w:eastAsia="Angsana New" w:hAnsi="Angsana New" w:cs="Angsana New"/>
      <w:sz w:val="41"/>
      <w:szCs w:val="41"/>
    </w:rPr>
  </w:style>
  <w:style w:type="character" w:customStyle="1" w:styleId="Bodytext2">
    <w:name w:val="Body text (2)_"/>
    <w:link w:val="Bodytext20"/>
    <w:locked/>
    <w:rsid w:val="000D3255"/>
    <w:rPr>
      <w:rFonts w:ascii="Angsana New" w:eastAsia="Angsana New" w:hAnsi="Angsana New" w:cs="Angsana New"/>
      <w:sz w:val="30"/>
      <w:szCs w:val="30"/>
      <w:shd w:val="clear" w:color="auto" w:fill="FFFFFF"/>
    </w:rPr>
  </w:style>
  <w:style w:type="paragraph" w:customStyle="1" w:styleId="Bodytext20">
    <w:name w:val="Body text (2)"/>
    <w:basedOn w:val="Normal"/>
    <w:link w:val="Bodytext2"/>
    <w:rsid w:val="000D3255"/>
    <w:pPr>
      <w:shd w:val="clear" w:color="auto" w:fill="FFFFFF"/>
      <w:spacing w:after="0" w:line="0" w:lineRule="atLeast"/>
      <w:ind w:hanging="700"/>
    </w:pPr>
    <w:rPr>
      <w:rFonts w:ascii="Angsana New" w:eastAsia="Angsana New" w:hAnsi="Angsana New" w:cs="Angsana New"/>
      <w:sz w:val="30"/>
      <w:szCs w:val="30"/>
    </w:rPr>
  </w:style>
  <w:style w:type="character" w:customStyle="1" w:styleId="Bodytext">
    <w:name w:val="Body text_"/>
    <w:link w:val="BodyText1"/>
    <w:locked/>
    <w:rsid w:val="000D3255"/>
    <w:rPr>
      <w:rFonts w:ascii="Angsana New" w:eastAsia="Angsana New" w:hAnsi="Angsana New" w:cs="Angsana New"/>
      <w:sz w:val="30"/>
      <w:szCs w:val="30"/>
      <w:shd w:val="clear" w:color="auto" w:fill="FFFFFF"/>
    </w:rPr>
  </w:style>
  <w:style w:type="paragraph" w:customStyle="1" w:styleId="BodyText1">
    <w:name w:val="Body Text1"/>
    <w:basedOn w:val="Normal"/>
    <w:link w:val="Bodytext"/>
    <w:rsid w:val="000D3255"/>
    <w:pPr>
      <w:shd w:val="clear" w:color="auto" w:fill="FFFFFF"/>
      <w:spacing w:after="0" w:line="245" w:lineRule="exact"/>
    </w:pPr>
    <w:rPr>
      <w:rFonts w:ascii="Angsana New" w:eastAsia="Angsana New" w:hAnsi="Angsana New" w:cs="Angsana New"/>
      <w:sz w:val="30"/>
      <w:szCs w:val="30"/>
    </w:rPr>
  </w:style>
  <w:style w:type="character" w:customStyle="1" w:styleId="Bodytext4">
    <w:name w:val="Body text (4)_"/>
    <w:link w:val="Bodytext40"/>
    <w:locked/>
    <w:rsid w:val="000D3255"/>
    <w:rPr>
      <w:rFonts w:ascii="Angsana New" w:eastAsia="Angsana New" w:hAnsi="Angsana New" w:cs="Angsana New"/>
      <w:sz w:val="41"/>
      <w:szCs w:val="41"/>
      <w:shd w:val="clear" w:color="auto" w:fill="FFFFFF"/>
    </w:rPr>
  </w:style>
  <w:style w:type="paragraph" w:customStyle="1" w:styleId="Bodytext40">
    <w:name w:val="Body text (4)"/>
    <w:basedOn w:val="Normal"/>
    <w:link w:val="Bodytext4"/>
    <w:rsid w:val="000D3255"/>
    <w:pPr>
      <w:shd w:val="clear" w:color="auto" w:fill="FFFFFF"/>
      <w:spacing w:after="0" w:line="0" w:lineRule="atLeast"/>
    </w:pPr>
    <w:rPr>
      <w:rFonts w:ascii="Angsana New" w:eastAsia="Angsana New" w:hAnsi="Angsana New" w:cs="Angsana New"/>
      <w:sz w:val="41"/>
      <w:szCs w:val="41"/>
    </w:rPr>
  </w:style>
  <w:style w:type="character" w:customStyle="1" w:styleId="BodytextBold">
    <w:name w:val="Body text + Bold"/>
    <w:rsid w:val="000D3255"/>
    <w:rPr>
      <w:rFonts w:ascii="Angsana New" w:eastAsia="Angsana New" w:hAnsi="Angsana New" w:cs="Angsana New"/>
      <w:b/>
      <w:bCs/>
      <w:sz w:val="30"/>
      <w:szCs w:val="30"/>
      <w:shd w:val="clear" w:color="auto" w:fill="FFFFFF"/>
    </w:rPr>
  </w:style>
  <w:style w:type="table" w:styleId="TableGrid">
    <w:name w:val="Table Grid"/>
    <w:basedOn w:val="TableNormal"/>
    <w:rsid w:val="004C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EE7"/>
    <w:pPr>
      <w:spacing w:after="160" w:line="259" w:lineRule="auto"/>
      <w:ind w:left="720"/>
      <w:contextualSpacing/>
    </w:pPr>
    <w:rPr>
      <w:rFonts w:eastAsia="Calibri"/>
    </w:rPr>
  </w:style>
  <w:style w:type="paragraph" w:styleId="NormalWeb">
    <w:name w:val="Normal (Web)"/>
    <w:basedOn w:val="Normal"/>
    <w:uiPriority w:val="99"/>
    <w:unhideWhenUsed/>
    <w:rsid w:val="00CF41AD"/>
    <w:pPr>
      <w:spacing w:before="100" w:beforeAutospacing="1" w:after="100" w:afterAutospacing="1" w:line="240" w:lineRule="auto"/>
    </w:pPr>
    <w:rPr>
      <w:rFonts w:ascii="Times New Roman" w:hAnsi="Times New Roman" w:cs="Times New Roman"/>
      <w:sz w:val="24"/>
      <w:szCs w:val="24"/>
      <w:lang w:val="en-LB"/>
    </w:rPr>
  </w:style>
  <w:style w:type="character" w:styleId="Strong">
    <w:name w:val="Strong"/>
    <w:basedOn w:val="DefaultParagraphFont"/>
    <w:uiPriority w:val="22"/>
    <w:qFormat/>
    <w:rsid w:val="00207C07"/>
    <w:rPr>
      <w:b/>
      <w:bCs/>
    </w:rPr>
  </w:style>
  <w:style w:type="character" w:styleId="Emphasis">
    <w:name w:val="Emphasis"/>
    <w:basedOn w:val="DefaultParagraphFont"/>
    <w:uiPriority w:val="20"/>
    <w:qFormat/>
    <w:rsid w:val="00207C07"/>
    <w:rPr>
      <w:i/>
      <w:iCs/>
    </w:rPr>
  </w:style>
  <w:style w:type="character" w:customStyle="1" w:styleId="Heading1Char">
    <w:name w:val="Heading 1 Char"/>
    <w:basedOn w:val="DefaultParagraphFont"/>
    <w:link w:val="Heading1"/>
    <w:uiPriority w:val="9"/>
    <w:rsid w:val="00EF6BBB"/>
    <w:rPr>
      <w:rFonts w:asciiTheme="minorBidi" w:hAnsiTheme="minorBidi" w:cstheme="minorBidi"/>
      <w:b/>
      <w:bCs/>
      <w:sz w:val="32"/>
      <w:szCs w:val="32"/>
      <w:lang w:val="en-LB"/>
    </w:rPr>
  </w:style>
  <w:style w:type="character" w:customStyle="1" w:styleId="Heading2Char">
    <w:name w:val="Heading 2 Char"/>
    <w:basedOn w:val="DefaultParagraphFont"/>
    <w:link w:val="Heading2"/>
    <w:uiPriority w:val="9"/>
    <w:rsid w:val="00B34C2D"/>
    <w:rPr>
      <w:rFonts w:asciiTheme="minorBidi" w:hAnsiTheme="minorBidi" w:cstheme="minorBidi"/>
      <w:b/>
      <w:bCs/>
      <w:sz w:val="32"/>
      <w:szCs w:val="32"/>
      <w:lang w:val="en-LB"/>
    </w:rPr>
  </w:style>
  <w:style w:type="character" w:customStyle="1" w:styleId="Heading3Char">
    <w:name w:val="Heading 3 Char"/>
    <w:basedOn w:val="DefaultParagraphFont"/>
    <w:link w:val="Heading3"/>
    <w:uiPriority w:val="9"/>
    <w:rsid w:val="0006546A"/>
    <w:rPr>
      <w:rFonts w:asciiTheme="minorBidi" w:hAnsiTheme="minorBidi" w:cstheme="minorBidi"/>
      <w:b/>
      <w:bCs/>
      <w:sz w:val="24"/>
      <w:szCs w:val="24"/>
      <w:lang w:val="en-LB"/>
    </w:rPr>
  </w:style>
  <w:style w:type="character" w:styleId="PageNumber">
    <w:name w:val="page number"/>
    <w:basedOn w:val="DefaultParagraphFont"/>
    <w:uiPriority w:val="99"/>
    <w:semiHidden/>
    <w:unhideWhenUsed/>
    <w:rsid w:val="007272CB"/>
  </w:style>
  <w:style w:type="character" w:customStyle="1" w:styleId="Heading4Char">
    <w:name w:val="Heading 4 Char"/>
    <w:basedOn w:val="DefaultParagraphFont"/>
    <w:link w:val="Heading4"/>
    <w:uiPriority w:val="9"/>
    <w:rsid w:val="0006546A"/>
    <w:rPr>
      <w:rFonts w:asciiTheme="minorBidi" w:hAnsiTheme="minorBidi" w:cstheme="minorBidi"/>
      <w:b/>
      <w:bCs/>
      <w:sz w:val="24"/>
      <w:szCs w:val="24"/>
      <w:lang w:val="en-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840">
      <w:bodyDiv w:val="1"/>
      <w:marLeft w:val="0"/>
      <w:marRight w:val="0"/>
      <w:marTop w:val="0"/>
      <w:marBottom w:val="0"/>
      <w:divBdr>
        <w:top w:val="none" w:sz="0" w:space="0" w:color="auto"/>
        <w:left w:val="none" w:sz="0" w:space="0" w:color="auto"/>
        <w:bottom w:val="none" w:sz="0" w:space="0" w:color="auto"/>
        <w:right w:val="none" w:sz="0" w:space="0" w:color="auto"/>
      </w:divBdr>
    </w:div>
    <w:div w:id="48307211">
      <w:bodyDiv w:val="1"/>
      <w:marLeft w:val="0"/>
      <w:marRight w:val="0"/>
      <w:marTop w:val="0"/>
      <w:marBottom w:val="0"/>
      <w:divBdr>
        <w:top w:val="none" w:sz="0" w:space="0" w:color="auto"/>
        <w:left w:val="none" w:sz="0" w:space="0" w:color="auto"/>
        <w:bottom w:val="none" w:sz="0" w:space="0" w:color="auto"/>
        <w:right w:val="none" w:sz="0" w:space="0" w:color="auto"/>
      </w:divBdr>
    </w:div>
    <w:div w:id="90519167">
      <w:bodyDiv w:val="1"/>
      <w:marLeft w:val="0"/>
      <w:marRight w:val="0"/>
      <w:marTop w:val="0"/>
      <w:marBottom w:val="0"/>
      <w:divBdr>
        <w:top w:val="none" w:sz="0" w:space="0" w:color="auto"/>
        <w:left w:val="none" w:sz="0" w:space="0" w:color="auto"/>
        <w:bottom w:val="none" w:sz="0" w:space="0" w:color="auto"/>
        <w:right w:val="none" w:sz="0" w:space="0" w:color="auto"/>
      </w:divBdr>
    </w:div>
    <w:div w:id="222525594">
      <w:bodyDiv w:val="1"/>
      <w:marLeft w:val="0"/>
      <w:marRight w:val="0"/>
      <w:marTop w:val="0"/>
      <w:marBottom w:val="0"/>
      <w:divBdr>
        <w:top w:val="none" w:sz="0" w:space="0" w:color="auto"/>
        <w:left w:val="none" w:sz="0" w:space="0" w:color="auto"/>
        <w:bottom w:val="none" w:sz="0" w:space="0" w:color="auto"/>
        <w:right w:val="none" w:sz="0" w:space="0" w:color="auto"/>
      </w:divBdr>
    </w:div>
    <w:div w:id="287054784">
      <w:bodyDiv w:val="1"/>
      <w:marLeft w:val="0"/>
      <w:marRight w:val="0"/>
      <w:marTop w:val="0"/>
      <w:marBottom w:val="0"/>
      <w:divBdr>
        <w:top w:val="none" w:sz="0" w:space="0" w:color="auto"/>
        <w:left w:val="none" w:sz="0" w:space="0" w:color="auto"/>
        <w:bottom w:val="none" w:sz="0" w:space="0" w:color="auto"/>
        <w:right w:val="none" w:sz="0" w:space="0" w:color="auto"/>
      </w:divBdr>
    </w:div>
    <w:div w:id="384766085">
      <w:bodyDiv w:val="1"/>
      <w:marLeft w:val="0"/>
      <w:marRight w:val="0"/>
      <w:marTop w:val="0"/>
      <w:marBottom w:val="0"/>
      <w:divBdr>
        <w:top w:val="none" w:sz="0" w:space="0" w:color="auto"/>
        <w:left w:val="none" w:sz="0" w:space="0" w:color="auto"/>
        <w:bottom w:val="none" w:sz="0" w:space="0" w:color="auto"/>
        <w:right w:val="none" w:sz="0" w:space="0" w:color="auto"/>
      </w:divBdr>
    </w:div>
    <w:div w:id="451364365">
      <w:bodyDiv w:val="1"/>
      <w:marLeft w:val="0"/>
      <w:marRight w:val="0"/>
      <w:marTop w:val="0"/>
      <w:marBottom w:val="0"/>
      <w:divBdr>
        <w:top w:val="none" w:sz="0" w:space="0" w:color="auto"/>
        <w:left w:val="none" w:sz="0" w:space="0" w:color="auto"/>
        <w:bottom w:val="none" w:sz="0" w:space="0" w:color="auto"/>
        <w:right w:val="none" w:sz="0" w:space="0" w:color="auto"/>
      </w:divBdr>
    </w:div>
    <w:div w:id="485048673">
      <w:bodyDiv w:val="1"/>
      <w:marLeft w:val="0"/>
      <w:marRight w:val="0"/>
      <w:marTop w:val="0"/>
      <w:marBottom w:val="0"/>
      <w:divBdr>
        <w:top w:val="none" w:sz="0" w:space="0" w:color="auto"/>
        <w:left w:val="none" w:sz="0" w:space="0" w:color="auto"/>
        <w:bottom w:val="none" w:sz="0" w:space="0" w:color="auto"/>
        <w:right w:val="none" w:sz="0" w:space="0" w:color="auto"/>
      </w:divBdr>
    </w:div>
    <w:div w:id="647629450">
      <w:bodyDiv w:val="1"/>
      <w:marLeft w:val="0"/>
      <w:marRight w:val="0"/>
      <w:marTop w:val="0"/>
      <w:marBottom w:val="0"/>
      <w:divBdr>
        <w:top w:val="none" w:sz="0" w:space="0" w:color="auto"/>
        <w:left w:val="none" w:sz="0" w:space="0" w:color="auto"/>
        <w:bottom w:val="none" w:sz="0" w:space="0" w:color="auto"/>
        <w:right w:val="none" w:sz="0" w:space="0" w:color="auto"/>
      </w:divBdr>
    </w:div>
    <w:div w:id="754714046">
      <w:bodyDiv w:val="1"/>
      <w:marLeft w:val="0"/>
      <w:marRight w:val="0"/>
      <w:marTop w:val="0"/>
      <w:marBottom w:val="0"/>
      <w:divBdr>
        <w:top w:val="none" w:sz="0" w:space="0" w:color="auto"/>
        <w:left w:val="none" w:sz="0" w:space="0" w:color="auto"/>
        <w:bottom w:val="none" w:sz="0" w:space="0" w:color="auto"/>
        <w:right w:val="none" w:sz="0" w:space="0" w:color="auto"/>
      </w:divBdr>
    </w:div>
    <w:div w:id="832181730">
      <w:bodyDiv w:val="1"/>
      <w:marLeft w:val="0"/>
      <w:marRight w:val="0"/>
      <w:marTop w:val="0"/>
      <w:marBottom w:val="0"/>
      <w:divBdr>
        <w:top w:val="none" w:sz="0" w:space="0" w:color="auto"/>
        <w:left w:val="none" w:sz="0" w:space="0" w:color="auto"/>
        <w:bottom w:val="none" w:sz="0" w:space="0" w:color="auto"/>
        <w:right w:val="none" w:sz="0" w:space="0" w:color="auto"/>
      </w:divBdr>
    </w:div>
    <w:div w:id="1017393748">
      <w:bodyDiv w:val="1"/>
      <w:marLeft w:val="0"/>
      <w:marRight w:val="0"/>
      <w:marTop w:val="0"/>
      <w:marBottom w:val="0"/>
      <w:divBdr>
        <w:top w:val="none" w:sz="0" w:space="0" w:color="auto"/>
        <w:left w:val="none" w:sz="0" w:space="0" w:color="auto"/>
        <w:bottom w:val="none" w:sz="0" w:space="0" w:color="auto"/>
        <w:right w:val="none" w:sz="0" w:space="0" w:color="auto"/>
      </w:divBdr>
    </w:div>
    <w:div w:id="1052969798">
      <w:bodyDiv w:val="1"/>
      <w:marLeft w:val="0"/>
      <w:marRight w:val="0"/>
      <w:marTop w:val="0"/>
      <w:marBottom w:val="0"/>
      <w:divBdr>
        <w:top w:val="none" w:sz="0" w:space="0" w:color="auto"/>
        <w:left w:val="none" w:sz="0" w:space="0" w:color="auto"/>
        <w:bottom w:val="none" w:sz="0" w:space="0" w:color="auto"/>
        <w:right w:val="none" w:sz="0" w:space="0" w:color="auto"/>
      </w:divBdr>
    </w:div>
    <w:div w:id="1094863857">
      <w:bodyDiv w:val="1"/>
      <w:marLeft w:val="0"/>
      <w:marRight w:val="0"/>
      <w:marTop w:val="0"/>
      <w:marBottom w:val="0"/>
      <w:divBdr>
        <w:top w:val="none" w:sz="0" w:space="0" w:color="auto"/>
        <w:left w:val="none" w:sz="0" w:space="0" w:color="auto"/>
        <w:bottom w:val="none" w:sz="0" w:space="0" w:color="auto"/>
        <w:right w:val="none" w:sz="0" w:space="0" w:color="auto"/>
      </w:divBdr>
    </w:div>
    <w:div w:id="1103839213">
      <w:bodyDiv w:val="1"/>
      <w:marLeft w:val="0"/>
      <w:marRight w:val="0"/>
      <w:marTop w:val="0"/>
      <w:marBottom w:val="0"/>
      <w:divBdr>
        <w:top w:val="none" w:sz="0" w:space="0" w:color="auto"/>
        <w:left w:val="none" w:sz="0" w:space="0" w:color="auto"/>
        <w:bottom w:val="none" w:sz="0" w:space="0" w:color="auto"/>
        <w:right w:val="none" w:sz="0" w:space="0" w:color="auto"/>
      </w:divBdr>
    </w:div>
    <w:div w:id="1111247917">
      <w:bodyDiv w:val="1"/>
      <w:marLeft w:val="0"/>
      <w:marRight w:val="0"/>
      <w:marTop w:val="0"/>
      <w:marBottom w:val="0"/>
      <w:divBdr>
        <w:top w:val="none" w:sz="0" w:space="0" w:color="auto"/>
        <w:left w:val="none" w:sz="0" w:space="0" w:color="auto"/>
        <w:bottom w:val="none" w:sz="0" w:space="0" w:color="auto"/>
        <w:right w:val="none" w:sz="0" w:space="0" w:color="auto"/>
      </w:divBdr>
    </w:div>
    <w:div w:id="1170103625">
      <w:bodyDiv w:val="1"/>
      <w:marLeft w:val="0"/>
      <w:marRight w:val="0"/>
      <w:marTop w:val="0"/>
      <w:marBottom w:val="0"/>
      <w:divBdr>
        <w:top w:val="none" w:sz="0" w:space="0" w:color="auto"/>
        <w:left w:val="none" w:sz="0" w:space="0" w:color="auto"/>
        <w:bottom w:val="none" w:sz="0" w:space="0" w:color="auto"/>
        <w:right w:val="none" w:sz="0" w:space="0" w:color="auto"/>
      </w:divBdr>
    </w:div>
    <w:div w:id="1482386328">
      <w:bodyDiv w:val="1"/>
      <w:marLeft w:val="0"/>
      <w:marRight w:val="0"/>
      <w:marTop w:val="0"/>
      <w:marBottom w:val="0"/>
      <w:divBdr>
        <w:top w:val="none" w:sz="0" w:space="0" w:color="auto"/>
        <w:left w:val="none" w:sz="0" w:space="0" w:color="auto"/>
        <w:bottom w:val="none" w:sz="0" w:space="0" w:color="auto"/>
        <w:right w:val="none" w:sz="0" w:space="0" w:color="auto"/>
      </w:divBdr>
    </w:div>
    <w:div w:id="1537044099">
      <w:bodyDiv w:val="1"/>
      <w:marLeft w:val="0"/>
      <w:marRight w:val="0"/>
      <w:marTop w:val="0"/>
      <w:marBottom w:val="0"/>
      <w:divBdr>
        <w:top w:val="none" w:sz="0" w:space="0" w:color="auto"/>
        <w:left w:val="none" w:sz="0" w:space="0" w:color="auto"/>
        <w:bottom w:val="none" w:sz="0" w:space="0" w:color="auto"/>
        <w:right w:val="none" w:sz="0" w:space="0" w:color="auto"/>
      </w:divBdr>
    </w:div>
    <w:div w:id="1596666514">
      <w:bodyDiv w:val="1"/>
      <w:marLeft w:val="0"/>
      <w:marRight w:val="0"/>
      <w:marTop w:val="0"/>
      <w:marBottom w:val="0"/>
      <w:divBdr>
        <w:top w:val="none" w:sz="0" w:space="0" w:color="auto"/>
        <w:left w:val="none" w:sz="0" w:space="0" w:color="auto"/>
        <w:bottom w:val="none" w:sz="0" w:space="0" w:color="auto"/>
        <w:right w:val="none" w:sz="0" w:space="0" w:color="auto"/>
      </w:divBdr>
    </w:div>
    <w:div w:id="1720860219">
      <w:bodyDiv w:val="1"/>
      <w:marLeft w:val="0"/>
      <w:marRight w:val="0"/>
      <w:marTop w:val="0"/>
      <w:marBottom w:val="0"/>
      <w:divBdr>
        <w:top w:val="none" w:sz="0" w:space="0" w:color="auto"/>
        <w:left w:val="none" w:sz="0" w:space="0" w:color="auto"/>
        <w:bottom w:val="none" w:sz="0" w:space="0" w:color="auto"/>
        <w:right w:val="none" w:sz="0" w:space="0" w:color="auto"/>
      </w:divBdr>
    </w:div>
    <w:div w:id="1856918893">
      <w:bodyDiv w:val="1"/>
      <w:marLeft w:val="0"/>
      <w:marRight w:val="0"/>
      <w:marTop w:val="0"/>
      <w:marBottom w:val="0"/>
      <w:divBdr>
        <w:top w:val="none" w:sz="0" w:space="0" w:color="auto"/>
        <w:left w:val="none" w:sz="0" w:space="0" w:color="auto"/>
        <w:bottom w:val="none" w:sz="0" w:space="0" w:color="auto"/>
        <w:right w:val="none" w:sz="0" w:space="0" w:color="auto"/>
      </w:divBdr>
    </w:div>
    <w:div w:id="1973246284">
      <w:bodyDiv w:val="1"/>
      <w:marLeft w:val="0"/>
      <w:marRight w:val="0"/>
      <w:marTop w:val="0"/>
      <w:marBottom w:val="0"/>
      <w:divBdr>
        <w:top w:val="none" w:sz="0" w:space="0" w:color="auto"/>
        <w:left w:val="none" w:sz="0" w:space="0" w:color="auto"/>
        <w:bottom w:val="none" w:sz="0" w:space="0" w:color="auto"/>
        <w:right w:val="none" w:sz="0" w:space="0" w:color="auto"/>
      </w:divBdr>
    </w:div>
    <w:div w:id="1980768321">
      <w:bodyDiv w:val="1"/>
      <w:marLeft w:val="0"/>
      <w:marRight w:val="0"/>
      <w:marTop w:val="0"/>
      <w:marBottom w:val="0"/>
      <w:divBdr>
        <w:top w:val="none" w:sz="0" w:space="0" w:color="auto"/>
        <w:left w:val="none" w:sz="0" w:space="0" w:color="auto"/>
        <w:bottom w:val="none" w:sz="0" w:space="0" w:color="auto"/>
        <w:right w:val="none" w:sz="0" w:space="0" w:color="auto"/>
      </w:divBdr>
    </w:div>
    <w:div w:id="1983384333">
      <w:bodyDiv w:val="1"/>
      <w:marLeft w:val="0"/>
      <w:marRight w:val="0"/>
      <w:marTop w:val="0"/>
      <w:marBottom w:val="0"/>
      <w:divBdr>
        <w:top w:val="none" w:sz="0" w:space="0" w:color="auto"/>
        <w:left w:val="none" w:sz="0" w:space="0" w:color="auto"/>
        <w:bottom w:val="none" w:sz="0" w:space="0" w:color="auto"/>
        <w:right w:val="none" w:sz="0" w:space="0" w:color="auto"/>
      </w:divBdr>
    </w:div>
    <w:div w:id="2040011710">
      <w:bodyDiv w:val="1"/>
      <w:marLeft w:val="0"/>
      <w:marRight w:val="0"/>
      <w:marTop w:val="0"/>
      <w:marBottom w:val="0"/>
      <w:divBdr>
        <w:top w:val="none" w:sz="0" w:space="0" w:color="auto"/>
        <w:left w:val="none" w:sz="0" w:space="0" w:color="auto"/>
        <w:bottom w:val="none" w:sz="0" w:space="0" w:color="auto"/>
        <w:right w:val="none" w:sz="0" w:space="0" w:color="auto"/>
      </w:divBdr>
    </w:div>
    <w:div w:id="2065786794">
      <w:bodyDiv w:val="1"/>
      <w:marLeft w:val="0"/>
      <w:marRight w:val="0"/>
      <w:marTop w:val="0"/>
      <w:marBottom w:val="0"/>
      <w:divBdr>
        <w:top w:val="none" w:sz="0" w:space="0" w:color="auto"/>
        <w:left w:val="none" w:sz="0" w:space="0" w:color="auto"/>
        <w:bottom w:val="none" w:sz="0" w:space="0" w:color="auto"/>
        <w:right w:val="none" w:sz="0" w:space="0" w:color="auto"/>
      </w:divBdr>
      <w:divsChild>
        <w:div w:id="752359165">
          <w:marLeft w:val="0"/>
          <w:marRight w:val="0"/>
          <w:marTop w:val="0"/>
          <w:marBottom w:val="0"/>
          <w:divBdr>
            <w:top w:val="none" w:sz="0" w:space="0" w:color="auto"/>
            <w:left w:val="none" w:sz="0" w:space="0" w:color="auto"/>
            <w:bottom w:val="none" w:sz="0" w:space="0" w:color="auto"/>
            <w:right w:val="none" w:sz="0" w:space="0" w:color="auto"/>
          </w:divBdr>
          <w:divsChild>
            <w:div w:id="1066954207">
              <w:marLeft w:val="0"/>
              <w:marRight w:val="0"/>
              <w:marTop w:val="0"/>
              <w:marBottom w:val="0"/>
              <w:divBdr>
                <w:top w:val="none" w:sz="0" w:space="0" w:color="auto"/>
                <w:left w:val="none" w:sz="0" w:space="0" w:color="auto"/>
                <w:bottom w:val="none" w:sz="0" w:space="0" w:color="auto"/>
                <w:right w:val="none" w:sz="0" w:space="0" w:color="auto"/>
              </w:divBdr>
              <w:divsChild>
                <w:div w:id="1186409880">
                  <w:marLeft w:val="0"/>
                  <w:marRight w:val="0"/>
                  <w:marTop w:val="0"/>
                  <w:marBottom w:val="0"/>
                  <w:divBdr>
                    <w:top w:val="none" w:sz="0" w:space="0" w:color="auto"/>
                    <w:left w:val="none" w:sz="0" w:space="0" w:color="auto"/>
                    <w:bottom w:val="none" w:sz="0" w:space="0" w:color="auto"/>
                    <w:right w:val="none" w:sz="0" w:space="0" w:color="auto"/>
                  </w:divBdr>
                  <w:divsChild>
                    <w:div w:id="1059481058">
                      <w:marLeft w:val="0"/>
                      <w:marRight w:val="0"/>
                      <w:marTop w:val="0"/>
                      <w:marBottom w:val="0"/>
                      <w:divBdr>
                        <w:top w:val="none" w:sz="0" w:space="0" w:color="auto"/>
                        <w:left w:val="none" w:sz="0" w:space="0" w:color="auto"/>
                        <w:bottom w:val="none" w:sz="0" w:space="0" w:color="auto"/>
                        <w:right w:val="none" w:sz="0" w:space="0" w:color="auto"/>
                      </w:divBdr>
                      <w:divsChild>
                        <w:div w:id="2003388613">
                          <w:marLeft w:val="0"/>
                          <w:marRight w:val="0"/>
                          <w:marTop w:val="0"/>
                          <w:marBottom w:val="0"/>
                          <w:divBdr>
                            <w:top w:val="none" w:sz="0" w:space="0" w:color="auto"/>
                            <w:left w:val="none" w:sz="0" w:space="0" w:color="auto"/>
                            <w:bottom w:val="none" w:sz="0" w:space="0" w:color="auto"/>
                            <w:right w:val="none" w:sz="0" w:space="0" w:color="auto"/>
                          </w:divBdr>
                          <w:divsChild>
                            <w:div w:id="11149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43E9-B7FC-49D6-B435-158D3CF2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10631</CharactersWithSpaces>
  <SharedDoc>false</SharedDoc>
  <HLinks>
    <vt:vector size="12" baseType="variant">
      <vt:variant>
        <vt:i4>2228274</vt:i4>
      </vt:variant>
      <vt:variant>
        <vt:i4>3</vt:i4>
      </vt:variant>
      <vt:variant>
        <vt:i4>0</vt:i4>
      </vt:variant>
      <vt:variant>
        <vt:i4>5</vt:i4>
      </vt:variant>
      <vt:variant>
        <vt:lpwstr>http://www.pdalebanon.org/</vt:lpwstr>
      </vt:variant>
      <vt:variant>
        <vt:lpwstr/>
      </vt:variant>
      <vt:variant>
        <vt:i4>5177453</vt:i4>
      </vt:variant>
      <vt:variant>
        <vt:i4>0</vt:i4>
      </vt:variant>
      <vt:variant>
        <vt:i4>0</vt:i4>
      </vt:variant>
      <vt:variant>
        <vt:i4>5</vt:i4>
      </vt:variant>
      <vt:variant>
        <vt:lpwstr>mailto:info@pdalebanon.org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D.jalal</dc:creator>
  <cp:keywords/>
  <cp:lastModifiedBy>jalal mahfouz</cp:lastModifiedBy>
  <cp:revision>12</cp:revision>
  <cp:lastPrinted>2024-05-02T19:32:00Z</cp:lastPrinted>
  <dcterms:created xsi:type="dcterms:W3CDTF">2026-04-24T17:19:00Z</dcterms:created>
  <dcterms:modified xsi:type="dcterms:W3CDTF">2026-04-25T14:28:00Z</dcterms:modified>
</cp:coreProperties>
</file>